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8F0A8" w14:textId="677F4292" w:rsidR="00F8279F" w:rsidRPr="00E777B7" w:rsidRDefault="001C20C6" w:rsidP="00F8279F">
      <w:pPr>
        <w:jc w:val="both"/>
        <w:rPr>
          <w:bCs/>
          <w:sz w:val="24"/>
          <w:szCs w:val="24"/>
        </w:rPr>
      </w:pPr>
      <w:r>
        <w:rPr>
          <w:rFonts w:cs="Arial"/>
          <w:color w:val="000000"/>
          <w:sz w:val="22"/>
          <w:szCs w:val="22"/>
        </w:rPr>
        <w:t>To</w:t>
      </w:r>
      <w:r w:rsidR="00F8279F">
        <w:rPr>
          <w:rFonts w:cs="Arial"/>
          <w:color w:val="000000"/>
          <w:sz w:val="22"/>
          <w:szCs w:val="22"/>
        </w:rPr>
        <w:t xml:space="preserve"> provide high quality support to the </w:t>
      </w:r>
      <w:r w:rsidR="00AC2E56">
        <w:rPr>
          <w:rFonts w:cs="Arial"/>
          <w:color w:val="000000"/>
          <w:sz w:val="22"/>
          <w:szCs w:val="22"/>
        </w:rPr>
        <w:t>Housing Litigation</w:t>
      </w:r>
      <w:r w:rsidR="00F8279F" w:rsidRPr="00AE45C6">
        <w:rPr>
          <w:rFonts w:cs="Arial"/>
          <w:color w:val="000000"/>
          <w:sz w:val="22"/>
          <w:szCs w:val="22"/>
        </w:rPr>
        <w:t xml:space="preserve"> Team.  To assist in the preparation</w:t>
      </w:r>
      <w:r w:rsidR="00E20474">
        <w:rPr>
          <w:rFonts w:cs="Arial"/>
          <w:color w:val="000000"/>
          <w:sz w:val="22"/>
          <w:szCs w:val="22"/>
        </w:rPr>
        <w:t xml:space="preserve"> </w:t>
      </w:r>
      <w:r w:rsidR="00F8279F" w:rsidRPr="00AE45C6">
        <w:rPr>
          <w:rFonts w:cs="Arial"/>
          <w:color w:val="000000"/>
          <w:sz w:val="22"/>
          <w:szCs w:val="22"/>
        </w:rPr>
        <w:t xml:space="preserve">and progression of </w:t>
      </w:r>
      <w:r>
        <w:rPr>
          <w:rFonts w:cs="Arial"/>
          <w:color w:val="000000"/>
          <w:sz w:val="22"/>
          <w:szCs w:val="22"/>
        </w:rPr>
        <w:t xml:space="preserve">housing related matters, including </w:t>
      </w:r>
      <w:r w:rsidR="00C20FCE">
        <w:rPr>
          <w:rFonts w:cs="Arial"/>
          <w:color w:val="000000"/>
          <w:sz w:val="22"/>
          <w:szCs w:val="22"/>
        </w:rPr>
        <w:t xml:space="preserve">tenancy breach and </w:t>
      </w:r>
      <w:r>
        <w:rPr>
          <w:rFonts w:cs="Arial"/>
          <w:color w:val="000000"/>
          <w:sz w:val="22"/>
          <w:szCs w:val="22"/>
        </w:rPr>
        <w:t xml:space="preserve">housing condition and cases.  </w:t>
      </w:r>
    </w:p>
    <w:p w14:paraId="7543A23E" w14:textId="1895D01B" w:rsidR="006001A3" w:rsidRPr="006001A3" w:rsidRDefault="006001A3" w:rsidP="004E1CCC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 w:rsidR="00407075">
        <w:rPr>
          <w:rFonts w:cs="Arial"/>
          <w:color w:val="000000"/>
          <w:sz w:val="22"/>
          <w:szCs w:val="22"/>
          <w:u w:val="single"/>
        </w:rPr>
        <w:tab/>
      </w:r>
    </w:p>
    <w:p w14:paraId="3EB41B0F" w14:textId="77777777" w:rsidR="004E1CCC" w:rsidRDefault="004E1CCC" w:rsidP="00EB3D5E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</w:p>
    <w:p w14:paraId="1E7EF614" w14:textId="77777777" w:rsidR="006001A3" w:rsidRDefault="006001A3" w:rsidP="00EB3D5E">
      <w:pPr>
        <w:tabs>
          <w:tab w:val="left" w:pos="540"/>
        </w:tabs>
        <w:rPr>
          <w:rFonts w:cs="Arial"/>
          <w:b/>
          <w:color w:val="000000"/>
          <w:sz w:val="22"/>
          <w:szCs w:val="22"/>
        </w:rPr>
      </w:pPr>
      <w:r w:rsidRPr="00792666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170BE8B5" w14:textId="77777777" w:rsidR="00BB1F11" w:rsidRDefault="00BB1F11" w:rsidP="00BB1F11">
      <w:pPr>
        <w:jc w:val="both"/>
        <w:rPr>
          <w:rFonts w:cs="Arial"/>
          <w:sz w:val="22"/>
          <w:szCs w:val="22"/>
        </w:rPr>
      </w:pPr>
    </w:p>
    <w:p w14:paraId="5C6F49B9" w14:textId="58D6C262" w:rsidR="00DE6858" w:rsidRDefault="00E20474" w:rsidP="00F8279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Provide professional, accurate and </w:t>
      </w:r>
      <w:r w:rsidR="000A5803">
        <w:rPr>
          <w:rFonts w:cs="Arial"/>
          <w:sz w:val="22"/>
          <w:szCs w:val="22"/>
        </w:rPr>
        <w:t>high-quality</w:t>
      </w:r>
      <w:r>
        <w:rPr>
          <w:rFonts w:cs="Arial"/>
          <w:sz w:val="22"/>
          <w:szCs w:val="22"/>
        </w:rPr>
        <w:t xml:space="preserve"> support to the </w:t>
      </w:r>
      <w:r w:rsidR="00370B71">
        <w:rPr>
          <w:rFonts w:cs="Arial"/>
          <w:sz w:val="22"/>
          <w:szCs w:val="22"/>
        </w:rPr>
        <w:t>Housing Litigation Team</w:t>
      </w:r>
      <w:r>
        <w:rPr>
          <w:rFonts w:cs="Arial"/>
          <w:sz w:val="22"/>
          <w:szCs w:val="22"/>
        </w:rPr>
        <w:t xml:space="preserve"> in relation to preparing and progressing housing matters; in particular, tenancy breach cases including </w:t>
      </w:r>
      <w:r w:rsidR="000A5803">
        <w:rPr>
          <w:rFonts w:cs="Arial"/>
          <w:sz w:val="22"/>
          <w:szCs w:val="22"/>
        </w:rPr>
        <w:t>anti-social</w:t>
      </w:r>
      <w:r>
        <w:rPr>
          <w:rFonts w:cs="Arial"/>
          <w:sz w:val="22"/>
          <w:szCs w:val="22"/>
        </w:rPr>
        <w:t xml:space="preserve"> behaviour; and housing condition claims </w:t>
      </w:r>
      <w:r w:rsidRPr="00387290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s.11 disrepair and s.82 statutory nuisance</w:t>
      </w:r>
      <w:r w:rsidRPr="00387290">
        <w:rPr>
          <w:rFonts w:cs="Arial"/>
          <w:sz w:val="22"/>
          <w:szCs w:val="22"/>
        </w:rPr>
        <w:t>).</w:t>
      </w:r>
      <w:r>
        <w:rPr>
          <w:rFonts w:cs="Arial"/>
          <w:sz w:val="22"/>
          <w:szCs w:val="22"/>
        </w:rPr>
        <w:t xml:space="preserve">  </w:t>
      </w:r>
    </w:p>
    <w:p w14:paraId="32EEAA01" w14:textId="77777777" w:rsidR="00DE6858" w:rsidRDefault="00DE6858" w:rsidP="00F8279F">
      <w:pPr>
        <w:rPr>
          <w:rFonts w:cs="Arial"/>
          <w:sz w:val="22"/>
          <w:szCs w:val="22"/>
        </w:rPr>
      </w:pPr>
    </w:p>
    <w:p w14:paraId="0A434394" w14:textId="2074112F" w:rsidR="00DE6858" w:rsidRDefault="00E20474" w:rsidP="00DE685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will </w:t>
      </w:r>
      <w:r w:rsidR="00DE6858">
        <w:rPr>
          <w:rFonts w:cs="Arial"/>
          <w:sz w:val="22"/>
          <w:szCs w:val="22"/>
        </w:rPr>
        <w:t xml:space="preserve">include but is not limited to, </w:t>
      </w:r>
      <w:r>
        <w:rPr>
          <w:rFonts w:cs="Arial"/>
          <w:sz w:val="22"/>
          <w:szCs w:val="22"/>
        </w:rPr>
        <w:t xml:space="preserve">support in preparing </w:t>
      </w:r>
      <w:r w:rsidR="00DE6858">
        <w:rPr>
          <w:rFonts w:cs="Arial"/>
          <w:sz w:val="22"/>
          <w:szCs w:val="22"/>
        </w:rPr>
        <w:t xml:space="preserve">routine court applications (for example simple claims for possession), legal notices, </w:t>
      </w:r>
      <w:r w:rsidRPr="00387290">
        <w:rPr>
          <w:rFonts w:cs="Arial"/>
          <w:sz w:val="22"/>
          <w:szCs w:val="22"/>
        </w:rPr>
        <w:t xml:space="preserve">pleadings, </w:t>
      </w:r>
      <w:r>
        <w:rPr>
          <w:rFonts w:cs="Arial"/>
          <w:sz w:val="22"/>
          <w:szCs w:val="22"/>
        </w:rPr>
        <w:t xml:space="preserve">defences, </w:t>
      </w:r>
      <w:r w:rsidRPr="00387290">
        <w:rPr>
          <w:rFonts w:cs="Arial"/>
          <w:sz w:val="22"/>
          <w:szCs w:val="22"/>
        </w:rPr>
        <w:t>witness statements and correspondence</w:t>
      </w:r>
      <w:r w:rsidR="00DE6858">
        <w:rPr>
          <w:rFonts w:cs="Arial"/>
          <w:sz w:val="22"/>
          <w:szCs w:val="22"/>
        </w:rPr>
        <w:t xml:space="preserve">, </w:t>
      </w:r>
      <w:r w:rsidR="00DE6858" w:rsidRPr="00AE45C6">
        <w:rPr>
          <w:rFonts w:cs="Arial"/>
          <w:sz w:val="22"/>
          <w:szCs w:val="22"/>
        </w:rPr>
        <w:t xml:space="preserve">under the supervision of </w:t>
      </w:r>
      <w:r w:rsidR="00DE6858">
        <w:rPr>
          <w:rFonts w:cs="Arial"/>
          <w:sz w:val="22"/>
          <w:szCs w:val="22"/>
        </w:rPr>
        <w:t xml:space="preserve">the housing solicitors.  </w:t>
      </w:r>
    </w:p>
    <w:p w14:paraId="3221D553" w14:textId="77777777" w:rsidR="00434256" w:rsidRDefault="00434256" w:rsidP="00434256">
      <w:pPr>
        <w:rPr>
          <w:rFonts w:cs="Arial"/>
          <w:color w:val="000000"/>
          <w:sz w:val="22"/>
          <w:szCs w:val="22"/>
        </w:rPr>
      </w:pPr>
    </w:p>
    <w:p w14:paraId="2871D96D" w14:textId="77777777" w:rsidR="007939D9" w:rsidRPr="00AE45C6" w:rsidRDefault="007939D9" w:rsidP="007939D9">
      <w:pPr>
        <w:rPr>
          <w:rFonts w:cs="Arial"/>
          <w:sz w:val="22"/>
          <w:szCs w:val="22"/>
        </w:rPr>
      </w:pPr>
      <w:r w:rsidRPr="00AE45C6">
        <w:rPr>
          <w:rFonts w:cs="Arial"/>
          <w:bCs/>
          <w:sz w:val="22"/>
          <w:szCs w:val="22"/>
        </w:rPr>
        <w:t xml:space="preserve">Organise </w:t>
      </w:r>
      <w:r>
        <w:rPr>
          <w:rFonts w:cs="Arial"/>
          <w:bCs/>
          <w:sz w:val="22"/>
          <w:szCs w:val="22"/>
        </w:rPr>
        <w:t xml:space="preserve">and update </w:t>
      </w:r>
      <w:r w:rsidRPr="00AE45C6">
        <w:rPr>
          <w:rFonts w:cs="Arial"/>
          <w:bCs/>
          <w:sz w:val="22"/>
          <w:szCs w:val="22"/>
        </w:rPr>
        <w:t>legal files</w:t>
      </w:r>
      <w:r>
        <w:rPr>
          <w:rFonts w:cs="Arial"/>
          <w:bCs/>
          <w:sz w:val="22"/>
          <w:szCs w:val="22"/>
        </w:rPr>
        <w:t xml:space="preserve">, </w:t>
      </w:r>
      <w:r w:rsidRPr="00AE45C6">
        <w:rPr>
          <w:rFonts w:cs="Arial"/>
          <w:bCs/>
          <w:sz w:val="22"/>
          <w:szCs w:val="22"/>
        </w:rPr>
        <w:t>databases</w:t>
      </w:r>
      <w:r>
        <w:rPr>
          <w:rFonts w:cs="Arial"/>
          <w:bCs/>
          <w:sz w:val="22"/>
          <w:szCs w:val="22"/>
        </w:rPr>
        <w:t xml:space="preserve"> and the case management system, ensuring </w:t>
      </w:r>
      <w:r w:rsidRPr="001C20C6">
        <w:rPr>
          <w:rFonts w:cs="Arial"/>
          <w:color w:val="000000"/>
          <w:sz w:val="22"/>
          <w:szCs w:val="22"/>
        </w:rPr>
        <w:t xml:space="preserve">deadlines are met </w:t>
      </w:r>
      <w:r>
        <w:rPr>
          <w:rFonts w:cs="Arial"/>
          <w:color w:val="000000"/>
          <w:sz w:val="22"/>
          <w:szCs w:val="22"/>
        </w:rPr>
        <w:t>and</w:t>
      </w:r>
      <w:r w:rsidRPr="001C20C6">
        <w:rPr>
          <w:rFonts w:cs="Arial"/>
          <w:color w:val="000000"/>
          <w:sz w:val="22"/>
          <w:szCs w:val="22"/>
        </w:rPr>
        <w:t xml:space="preserve"> compliance with regulations</w:t>
      </w:r>
      <w:r>
        <w:rPr>
          <w:rFonts w:cs="Arial"/>
          <w:color w:val="000000"/>
          <w:sz w:val="22"/>
          <w:szCs w:val="22"/>
        </w:rPr>
        <w:t>,</w:t>
      </w:r>
      <w:r w:rsidRPr="001C20C6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court directions </w:t>
      </w:r>
      <w:r w:rsidRPr="001C20C6">
        <w:rPr>
          <w:rFonts w:cs="Arial"/>
          <w:color w:val="000000"/>
          <w:sz w:val="22"/>
          <w:szCs w:val="22"/>
        </w:rPr>
        <w:t>and good practice</w:t>
      </w:r>
      <w:r>
        <w:rPr>
          <w:rFonts w:cs="Arial"/>
          <w:color w:val="000000"/>
          <w:sz w:val="22"/>
          <w:szCs w:val="22"/>
        </w:rPr>
        <w:t xml:space="preserve">.  </w:t>
      </w:r>
      <w:r w:rsidRPr="00AE45C6">
        <w:rPr>
          <w:rFonts w:cs="Arial"/>
          <w:sz w:val="22"/>
          <w:szCs w:val="22"/>
        </w:rPr>
        <w:t>Maintain all files to LEXCEL standard to follow legal best practise.</w:t>
      </w:r>
    </w:p>
    <w:p w14:paraId="7BAF57DF" w14:textId="77777777" w:rsidR="007939D9" w:rsidRDefault="007939D9" w:rsidP="00434256">
      <w:pPr>
        <w:rPr>
          <w:rFonts w:cs="Arial"/>
          <w:sz w:val="22"/>
          <w:szCs w:val="22"/>
        </w:rPr>
      </w:pPr>
    </w:p>
    <w:p w14:paraId="5701B10F" w14:textId="32AEEC63" w:rsidR="00434256" w:rsidRDefault="00434256" w:rsidP="00434256">
      <w:pPr>
        <w:rPr>
          <w:rFonts w:cs="Arial"/>
          <w:sz w:val="22"/>
          <w:szCs w:val="22"/>
        </w:rPr>
      </w:pPr>
      <w:r w:rsidRPr="00AE45C6">
        <w:rPr>
          <w:rFonts w:cs="Arial"/>
          <w:sz w:val="22"/>
          <w:szCs w:val="22"/>
        </w:rPr>
        <w:t>Produce and despatch invoices</w:t>
      </w:r>
      <w:r>
        <w:rPr>
          <w:rFonts w:cs="Arial"/>
          <w:sz w:val="22"/>
          <w:szCs w:val="22"/>
        </w:rPr>
        <w:t xml:space="preserve"> </w:t>
      </w:r>
      <w:r w:rsidRPr="00AE45C6">
        <w:rPr>
          <w:rFonts w:cs="Arial"/>
          <w:sz w:val="22"/>
          <w:szCs w:val="22"/>
        </w:rPr>
        <w:t>and legal documents to a high standard within strict timescales to ensure compliance with court requirements.</w:t>
      </w:r>
    </w:p>
    <w:p w14:paraId="76F27978" w14:textId="77777777" w:rsidR="00434256" w:rsidRPr="00AE45C6" w:rsidRDefault="00434256" w:rsidP="00434256">
      <w:pPr>
        <w:rPr>
          <w:rFonts w:cs="Arial"/>
          <w:sz w:val="22"/>
          <w:szCs w:val="22"/>
        </w:rPr>
      </w:pPr>
    </w:p>
    <w:p w14:paraId="4F2AD572" w14:textId="77777777" w:rsidR="00434256" w:rsidRDefault="00434256" w:rsidP="0043425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Extract and collate data to enable performance reporting and case analysis.  </w:t>
      </w:r>
    </w:p>
    <w:p w14:paraId="645537C1" w14:textId="77777777" w:rsidR="00DE6858" w:rsidRDefault="00DE6858" w:rsidP="00DE6858">
      <w:pPr>
        <w:rPr>
          <w:rFonts w:cs="Arial"/>
          <w:color w:val="000000"/>
          <w:sz w:val="22"/>
          <w:szCs w:val="22"/>
        </w:rPr>
      </w:pPr>
    </w:p>
    <w:p w14:paraId="0D6C1911" w14:textId="6F3D2AB0" w:rsidR="00DE6858" w:rsidRPr="00AE45C6" w:rsidRDefault="00DE6858" w:rsidP="00DE685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Ensure all work contributes to safeguarding the organisation against risk, including reputational and financial risk, operating efficiently and effectively and minimising any loss of income to the business.  </w:t>
      </w:r>
    </w:p>
    <w:p w14:paraId="189D02E9" w14:textId="134450F0" w:rsidR="00E20474" w:rsidRDefault="00E20474" w:rsidP="00F8279F">
      <w:pPr>
        <w:rPr>
          <w:rFonts w:cs="Arial"/>
          <w:sz w:val="22"/>
          <w:szCs w:val="22"/>
        </w:rPr>
      </w:pPr>
    </w:p>
    <w:p w14:paraId="78BB70A5" w14:textId="77777777" w:rsidR="00DE6858" w:rsidRPr="00AE45C6" w:rsidRDefault="00DE6858" w:rsidP="00DE6858">
      <w:pPr>
        <w:rPr>
          <w:rFonts w:cs="Arial"/>
          <w:sz w:val="22"/>
          <w:szCs w:val="22"/>
        </w:rPr>
      </w:pPr>
      <w:r w:rsidRPr="00AE45C6">
        <w:rPr>
          <w:rFonts w:cs="Arial"/>
          <w:sz w:val="22"/>
          <w:szCs w:val="22"/>
        </w:rPr>
        <w:t>Provide ad-hoc legal and administrative assistance to the Team where required on any other litigation and tenancy issues.</w:t>
      </w:r>
    </w:p>
    <w:p w14:paraId="2E16A2F0" w14:textId="10CAF1E9" w:rsidR="00E43BAA" w:rsidRPr="006001A3" w:rsidRDefault="00E43BAA" w:rsidP="007939D9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3575912D" w14:textId="77777777" w:rsidR="004F2657" w:rsidRDefault="004F2657" w:rsidP="00CB777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</w:p>
    <w:p w14:paraId="7A4F49D4" w14:textId="30ACAA7D" w:rsidR="00EB3D5E" w:rsidRPr="00792666" w:rsidRDefault="00EB3D5E" w:rsidP="00CB777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792666">
        <w:rPr>
          <w:rFonts w:cs="Arial"/>
          <w:b/>
          <w:color w:val="002060"/>
          <w:sz w:val="24"/>
          <w:szCs w:val="24"/>
        </w:rPr>
        <w:t>Relationship</w:t>
      </w:r>
      <w:r w:rsidR="00793D29">
        <w:rPr>
          <w:rFonts w:cs="Arial"/>
          <w:b/>
          <w:color w:val="002060"/>
          <w:sz w:val="24"/>
          <w:szCs w:val="24"/>
        </w:rPr>
        <w:t>s</w:t>
      </w:r>
    </w:p>
    <w:p w14:paraId="4ED04C17" w14:textId="77777777" w:rsidR="00EB3D5E" w:rsidRPr="0043316C" w:rsidRDefault="00EB3D5E" w:rsidP="00CB7772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14:paraId="2366DC3B" w14:textId="1730513F" w:rsidR="00407075" w:rsidRDefault="00407075" w:rsidP="00407075">
      <w:pPr>
        <w:jc w:val="both"/>
        <w:rPr>
          <w:rFonts w:cs="Arial"/>
          <w:sz w:val="22"/>
          <w:szCs w:val="22"/>
        </w:rPr>
      </w:pPr>
      <w:r w:rsidRPr="004F2657">
        <w:rPr>
          <w:rFonts w:cs="Arial"/>
          <w:color w:val="000000"/>
          <w:sz w:val="22"/>
          <w:szCs w:val="22"/>
        </w:rPr>
        <w:t xml:space="preserve">You will report to </w:t>
      </w:r>
      <w:r w:rsidR="0043630E">
        <w:rPr>
          <w:rFonts w:cs="Arial"/>
          <w:color w:val="000000"/>
          <w:sz w:val="22"/>
          <w:szCs w:val="22"/>
        </w:rPr>
        <w:t>the Housing Litigation Manager</w:t>
      </w:r>
      <w:r w:rsidR="0039108E">
        <w:rPr>
          <w:rFonts w:cs="Arial"/>
          <w:color w:val="000000"/>
          <w:sz w:val="22"/>
          <w:szCs w:val="22"/>
        </w:rPr>
        <w:t>.</w:t>
      </w:r>
    </w:p>
    <w:p w14:paraId="38D643C4" w14:textId="77777777" w:rsidR="008F589F" w:rsidRPr="004F2657" w:rsidRDefault="008F589F" w:rsidP="00CB7772">
      <w:pPr>
        <w:jc w:val="both"/>
        <w:rPr>
          <w:rFonts w:cs="Arial"/>
          <w:color w:val="000000"/>
          <w:sz w:val="22"/>
          <w:szCs w:val="22"/>
        </w:rPr>
      </w:pPr>
    </w:p>
    <w:p w14:paraId="32403734" w14:textId="633E5A38" w:rsidR="00097D7A" w:rsidRDefault="00F84551" w:rsidP="00097D7A">
      <w:pPr>
        <w:jc w:val="both"/>
        <w:rPr>
          <w:rFonts w:cs="Arial"/>
          <w:sz w:val="22"/>
          <w:szCs w:val="22"/>
        </w:rPr>
      </w:pPr>
      <w:r w:rsidRPr="004F2657">
        <w:rPr>
          <w:rFonts w:cs="Arial"/>
          <w:sz w:val="22"/>
          <w:szCs w:val="22"/>
        </w:rPr>
        <w:t>You are required to support and engage with</w:t>
      </w:r>
      <w:r w:rsidR="0039108E">
        <w:rPr>
          <w:rFonts w:cs="Arial"/>
          <w:sz w:val="22"/>
          <w:szCs w:val="22"/>
        </w:rPr>
        <w:t xml:space="preserve"> other colleagues in the Legal </w:t>
      </w:r>
      <w:r w:rsidR="000A5803">
        <w:rPr>
          <w:rFonts w:cs="Arial"/>
          <w:sz w:val="22"/>
          <w:szCs w:val="22"/>
        </w:rPr>
        <w:t>Services Team and</w:t>
      </w:r>
      <w:r w:rsidR="007E49CB">
        <w:rPr>
          <w:rFonts w:cs="Arial"/>
          <w:sz w:val="22"/>
          <w:szCs w:val="22"/>
        </w:rPr>
        <w:t xml:space="preserve"> will</w:t>
      </w:r>
      <w:r w:rsidR="0039108E">
        <w:rPr>
          <w:rFonts w:cs="Arial"/>
          <w:sz w:val="22"/>
          <w:szCs w:val="22"/>
        </w:rPr>
        <w:t xml:space="preserve"> maintain close working relationships with colleagues in the Insurance and Claims Team.  You will work effectively with other </w:t>
      </w:r>
      <w:r w:rsidR="00B62A92" w:rsidRPr="004F2657">
        <w:rPr>
          <w:rFonts w:cs="Arial"/>
          <w:sz w:val="22"/>
          <w:szCs w:val="22"/>
        </w:rPr>
        <w:t>parts of the organisation</w:t>
      </w:r>
      <w:r w:rsidR="0039108E">
        <w:rPr>
          <w:rFonts w:cs="Arial"/>
          <w:sz w:val="22"/>
          <w:szCs w:val="22"/>
        </w:rPr>
        <w:t xml:space="preserve">, in particular teams within the Housing and Home Maintenance Services directorates.  </w:t>
      </w:r>
      <w:r w:rsidR="00DD0FFD">
        <w:rPr>
          <w:rFonts w:cs="Arial"/>
          <w:sz w:val="22"/>
          <w:szCs w:val="22"/>
        </w:rPr>
        <w:t>You will m</w:t>
      </w:r>
      <w:r w:rsidR="00097D7A" w:rsidRPr="00387290">
        <w:rPr>
          <w:rFonts w:cs="Arial"/>
          <w:sz w:val="22"/>
          <w:szCs w:val="22"/>
        </w:rPr>
        <w:t xml:space="preserve">aintain and develop internal working relationships to ensure that any legal matters involving </w:t>
      </w:r>
      <w:proofErr w:type="spellStart"/>
      <w:r w:rsidR="00097D7A" w:rsidRPr="00387290">
        <w:rPr>
          <w:rFonts w:cs="Arial"/>
          <w:sz w:val="22"/>
          <w:szCs w:val="22"/>
        </w:rPr>
        <w:t>whg</w:t>
      </w:r>
      <w:proofErr w:type="spellEnd"/>
      <w:r w:rsidR="00097D7A" w:rsidRPr="00387290">
        <w:rPr>
          <w:rFonts w:cs="Arial"/>
          <w:sz w:val="22"/>
          <w:szCs w:val="22"/>
        </w:rPr>
        <w:t xml:space="preserve"> are dealt with efficiently and effectively.</w:t>
      </w:r>
    </w:p>
    <w:p w14:paraId="06BE5383" w14:textId="77777777" w:rsidR="004F2657" w:rsidRPr="004F2657" w:rsidRDefault="004F2657" w:rsidP="00CB7772">
      <w:pPr>
        <w:jc w:val="both"/>
        <w:rPr>
          <w:rFonts w:cs="Arial"/>
          <w:sz w:val="22"/>
          <w:szCs w:val="22"/>
        </w:rPr>
      </w:pPr>
    </w:p>
    <w:p w14:paraId="4E968B93" w14:textId="3E932437" w:rsidR="004E1CCC" w:rsidRDefault="004F2657" w:rsidP="00CB7772">
      <w:pPr>
        <w:jc w:val="both"/>
        <w:rPr>
          <w:rFonts w:cs="Arial"/>
          <w:sz w:val="22"/>
          <w:szCs w:val="22"/>
        </w:rPr>
      </w:pPr>
      <w:r w:rsidRPr="004F2657">
        <w:rPr>
          <w:rFonts w:cs="Arial"/>
          <w:sz w:val="22"/>
          <w:szCs w:val="22"/>
        </w:rPr>
        <w:t xml:space="preserve">You are also required to work with external stakeholders </w:t>
      </w:r>
      <w:r w:rsidR="005F4CF7">
        <w:rPr>
          <w:rFonts w:cs="Arial"/>
          <w:sz w:val="22"/>
          <w:szCs w:val="22"/>
        </w:rPr>
        <w:t xml:space="preserve">and organisations </w:t>
      </w:r>
      <w:r w:rsidRPr="004F2657">
        <w:rPr>
          <w:rFonts w:cs="Arial"/>
          <w:sz w:val="22"/>
          <w:szCs w:val="22"/>
        </w:rPr>
        <w:t xml:space="preserve">such as </w:t>
      </w:r>
      <w:r w:rsidR="00DD0FFD" w:rsidRPr="00387290">
        <w:rPr>
          <w:rFonts w:cs="Arial"/>
          <w:sz w:val="22"/>
          <w:szCs w:val="22"/>
        </w:rPr>
        <w:t xml:space="preserve">the Courts, </w:t>
      </w:r>
      <w:r w:rsidR="00DD0FFD">
        <w:rPr>
          <w:rFonts w:cs="Arial"/>
          <w:sz w:val="22"/>
          <w:szCs w:val="22"/>
        </w:rPr>
        <w:t>external lawyers (including Claimants’ and Defendants’ representatives)</w:t>
      </w:r>
      <w:r w:rsidR="00DD0FFD" w:rsidRPr="00387290">
        <w:rPr>
          <w:rFonts w:cs="Arial"/>
          <w:sz w:val="22"/>
          <w:szCs w:val="22"/>
        </w:rPr>
        <w:t xml:space="preserve"> </w:t>
      </w:r>
      <w:r w:rsidR="0039108E">
        <w:rPr>
          <w:rFonts w:cs="Arial"/>
          <w:sz w:val="22"/>
          <w:szCs w:val="22"/>
        </w:rPr>
        <w:t>and process servers</w:t>
      </w:r>
      <w:r w:rsidR="00DD0FFD" w:rsidRPr="00387290">
        <w:rPr>
          <w:rFonts w:cs="Arial"/>
          <w:sz w:val="22"/>
          <w:szCs w:val="22"/>
        </w:rPr>
        <w:t xml:space="preserve">. </w:t>
      </w:r>
    </w:p>
    <w:p w14:paraId="00756F15" w14:textId="77777777" w:rsidR="004E1CCC" w:rsidRDefault="004E1CCC" w:rsidP="00CB7772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34332297" w14:textId="77777777" w:rsidR="004E1CCC" w:rsidRDefault="004E1CCC" w:rsidP="00CB7772">
      <w:pPr>
        <w:jc w:val="both"/>
        <w:rPr>
          <w:rFonts w:cs="Arial"/>
          <w:sz w:val="22"/>
          <w:szCs w:val="22"/>
          <w:u w:val="single"/>
        </w:rPr>
      </w:pPr>
    </w:p>
    <w:p w14:paraId="28C2C9E8" w14:textId="77777777" w:rsidR="0077565E" w:rsidRPr="004E1CCC" w:rsidRDefault="004F0AD9" w:rsidP="00CB7772">
      <w:pPr>
        <w:jc w:val="both"/>
        <w:rPr>
          <w:rFonts w:cs="Arial"/>
          <w:sz w:val="22"/>
          <w:szCs w:val="22"/>
          <w:u w:val="single"/>
        </w:rPr>
      </w:pPr>
      <w:r w:rsidRPr="00792666">
        <w:rPr>
          <w:rFonts w:cs="Arial"/>
          <w:b/>
          <w:color w:val="002060"/>
          <w:sz w:val="24"/>
          <w:szCs w:val="24"/>
        </w:rPr>
        <w:t>Role Requirements</w:t>
      </w:r>
      <w:r>
        <w:rPr>
          <w:rFonts w:cs="Arial"/>
          <w:b/>
          <w:sz w:val="22"/>
          <w:szCs w:val="22"/>
        </w:rPr>
        <w:t xml:space="preserve">: </w:t>
      </w:r>
    </w:p>
    <w:p w14:paraId="53C8A076" w14:textId="77777777" w:rsidR="006001A3" w:rsidRDefault="006001A3" w:rsidP="00CB7772">
      <w:pPr>
        <w:ind w:left="360" w:hanging="360"/>
        <w:jc w:val="both"/>
        <w:rPr>
          <w:rFonts w:cs="Arial"/>
          <w:b/>
          <w:sz w:val="22"/>
          <w:szCs w:val="22"/>
        </w:rPr>
      </w:pPr>
    </w:p>
    <w:p w14:paraId="52C0A286" w14:textId="07EFFC08" w:rsidR="00983467" w:rsidRDefault="00983467" w:rsidP="00CB7772">
      <w:pPr>
        <w:jc w:val="both"/>
        <w:rPr>
          <w:rFonts w:cs="Arial"/>
          <w:sz w:val="22"/>
          <w:szCs w:val="22"/>
        </w:rPr>
      </w:pPr>
      <w:r w:rsidRPr="00983467">
        <w:rPr>
          <w:rFonts w:cs="Arial"/>
          <w:sz w:val="22"/>
          <w:szCs w:val="22"/>
        </w:rPr>
        <w:t>There are certain qua</w:t>
      </w:r>
      <w:r w:rsidR="00F84551">
        <w:rPr>
          <w:rFonts w:cs="Arial"/>
          <w:sz w:val="22"/>
          <w:szCs w:val="22"/>
        </w:rPr>
        <w:t xml:space="preserve">lifications and experience that </w:t>
      </w:r>
      <w:r w:rsidRPr="00983467">
        <w:rPr>
          <w:rFonts w:cs="Arial"/>
          <w:sz w:val="22"/>
          <w:szCs w:val="22"/>
        </w:rPr>
        <w:t xml:space="preserve">we are looking for </w:t>
      </w:r>
      <w:r w:rsidR="00267C83">
        <w:rPr>
          <w:rFonts w:cs="Arial"/>
          <w:sz w:val="22"/>
          <w:szCs w:val="22"/>
        </w:rPr>
        <w:t>to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>operate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 xml:space="preserve">effectively as </w:t>
      </w:r>
      <w:r w:rsidR="0039108E">
        <w:rPr>
          <w:rFonts w:cs="Arial"/>
          <w:sz w:val="22"/>
          <w:szCs w:val="22"/>
        </w:rPr>
        <w:t>Legal Assistant</w:t>
      </w:r>
      <w:r w:rsidR="004F2657">
        <w:rPr>
          <w:rFonts w:cs="Arial"/>
          <w:sz w:val="22"/>
          <w:szCs w:val="22"/>
        </w:rPr>
        <w:t>,</w:t>
      </w:r>
      <w:r w:rsidR="00914E01">
        <w:rPr>
          <w:rFonts w:cs="Arial"/>
          <w:sz w:val="22"/>
          <w:szCs w:val="22"/>
        </w:rPr>
        <w:t xml:space="preserve"> </w:t>
      </w:r>
      <w:r w:rsidRPr="00983467">
        <w:rPr>
          <w:rFonts w:cs="Arial"/>
          <w:sz w:val="22"/>
          <w:szCs w:val="22"/>
        </w:rPr>
        <w:t>specifically:</w:t>
      </w:r>
    </w:p>
    <w:p w14:paraId="5948340C" w14:textId="4201A805" w:rsidR="00D81D4A" w:rsidRDefault="00D81D4A" w:rsidP="00CB7772">
      <w:pPr>
        <w:jc w:val="both"/>
        <w:rPr>
          <w:rFonts w:cs="Arial"/>
          <w:sz w:val="22"/>
          <w:szCs w:val="22"/>
        </w:rPr>
      </w:pPr>
    </w:p>
    <w:p w14:paraId="6FCE6F56" w14:textId="28D4B3DF" w:rsidR="0039108E" w:rsidRPr="00BC3E7E" w:rsidRDefault="0039108E" w:rsidP="0039108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m</w:t>
      </w:r>
      <w:r w:rsidRPr="00BC3E7E">
        <w:rPr>
          <w:rFonts w:cs="Arial"/>
          <w:sz w:val="22"/>
          <w:szCs w:val="22"/>
        </w:rPr>
        <w:t>inimum of two years’ experience working in a similar role.</w:t>
      </w:r>
    </w:p>
    <w:p w14:paraId="78E06E0B" w14:textId="77777777" w:rsidR="0039108E" w:rsidRDefault="0039108E" w:rsidP="0039108E">
      <w:pPr>
        <w:rPr>
          <w:rFonts w:cs="Arial"/>
          <w:sz w:val="22"/>
          <w:szCs w:val="22"/>
        </w:rPr>
      </w:pPr>
    </w:p>
    <w:p w14:paraId="5D9227C2" w14:textId="03052EC8" w:rsidR="0039108E" w:rsidRPr="00BC3E7E" w:rsidRDefault="0039108E" w:rsidP="0039108E">
      <w:pPr>
        <w:rPr>
          <w:rFonts w:cs="Arial"/>
          <w:sz w:val="22"/>
          <w:szCs w:val="22"/>
        </w:rPr>
      </w:pPr>
      <w:r w:rsidRPr="00BC3E7E">
        <w:rPr>
          <w:rFonts w:cs="Arial"/>
          <w:sz w:val="22"/>
          <w:szCs w:val="22"/>
        </w:rPr>
        <w:t>Excellent verbal and written communication skills.</w:t>
      </w:r>
    </w:p>
    <w:p w14:paraId="458E8F30" w14:textId="77777777" w:rsidR="0039108E" w:rsidRDefault="0039108E" w:rsidP="0039108E">
      <w:pPr>
        <w:rPr>
          <w:rFonts w:cs="Arial"/>
          <w:sz w:val="22"/>
          <w:szCs w:val="22"/>
        </w:rPr>
      </w:pPr>
    </w:p>
    <w:p w14:paraId="4B0C1E82" w14:textId="54EA8F76" w:rsidR="0039108E" w:rsidRPr="00BC3E7E" w:rsidRDefault="0039108E" w:rsidP="0039108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g</w:t>
      </w:r>
      <w:r w:rsidRPr="00BC3E7E">
        <w:rPr>
          <w:rFonts w:cs="Arial"/>
          <w:sz w:val="22"/>
          <w:szCs w:val="22"/>
        </w:rPr>
        <w:t>ood Understanding of court procedures.</w:t>
      </w:r>
    </w:p>
    <w:p w14:paraId="7896DA8E" w14:textId="77777777" w:rsidR="0039108E" w:rsidRDefault="0039108E" w:rsidP="0039108E">
      <w:pPr>
        <w:rPr>
          <w:rFonts w:cs="Arial"/>
          <w:sz w:val="22"/>
          <w:szCs w:val="22"/>
        </w:rPr>
      </w:pPr>
    </w:p>
    <w:p w14:paraId="2AFB43AF" w14:textId="0917FECE" w:rsidR="0039108E" w:rsidRPr="00BC3E7E" w:rsidRDefault="0039108E" w:rsidP="0039108E">
      <w:pPr>
        <w:rPr>
          <w:rFonts w:cs="Arial"/>
          <w:sz w:val="22"/>
          <w:szCs w:val="22"/>
        </w:rPr>
      </w:pPr>
      <w:r w:rsidRPr="00BC3E7E">
        <w:rPr>
          <w:rFonts w:cs="Arial"/>
          <w:sz w:val="22"/>
          <w:szCs w:val="22"/>
        </w:rPr>
        <w:t>Attention to detail when dealing with written communications and reports.</w:t>
      </w:r>
    </w:p>
    <w:p w14:paraId="41E7DC68" w14:textId="77777777" w:rsidR="0039108E" w:rsidRDefault="0039108E" w:rsidP="0039108E">
      <w:pPr>
        <w:rPr>
          <w:rFonts w:cs="Arial"/>
          <w:sz w:val="22"/>
          <w:szCs w:val="22"/>
        </w:rPr>
      </w:pPr>
    </w:p>
    <w:p w14:paraId="04605DFB" w14:textId="4E4B82DB" w:rsidR="0039108E" w:rsidRPr="00BC3E7E" w:rsidRDefault="0039108E" w:rsidP="0039108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a</w:t>
      </w:r>
      <w:r w:rsidRPr="00BC3E7E">
        <w:rPr>
          <w:rFonts w:cs="Arial"/>
          <w:sz w:val="22"/>
          <w:szCs w:val="22"/>
        </w:rPr>
        <w:t>bility to plan own workload to achieve targets and deadlines.</w:t>
      </w:r>
    </w:p>
    <w:p w14:paraId="3D5C5515" w14:textId="77777777" w:rsidR="0039108E" w:rsidRDefault="0039108E" w:rsidP="0039108E">
      <w:pPr>
        <w:rPr>
          <w:rFonts w:cs="Arial"/>
          <w:sz w:val="22"/>
          <w:szCs w:val="22"/>
        </w:rPr>
      </w:pPr>
    </w:p>
    <w:p w14:paraId="00020BA7" w14:textId="76FF5B3E" w:rsidR="0039108E" w:rsidRPr="00BC3E7E" w:rsidRDefault="0039108E" w:rsidP="0039108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ability</w:t>
      </w:r>
      <w:r w:rsidRPr="00BC3E7E">
        <w:rPr>
          <w:rFonts w:cs="Arial"/>
          <w:sz w:val="22"/>
          <w:szCs w:val="22"/>
        </w:rPr>
        <w:t xml:space="preserve"> to work in a team environment and be supportive of others.</w:t>
      </w:r>
    </w:p>
    <w:p w14:paraId="6985B240" w14:textId="77777777" w:rsidR="0039108E" w:rsidRPr="00BC3E7E" w:rsidRDefault="0039108E" w:rsidP="0039108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ability to s</w:t>
      </w:r>
      <w:r w:rsidRPr="00BC3E7E">
        <w:rPr>
          <w:rFonts w:cs="Arial"/>
          <w:sz w:val="22"/>
          <w:szCs w:val="22"/>
        </w:rPr>
        <w:t>how resilience when dealing with challenging situations.</w:t>
      </w:r>
    </w:p>
    <w:p w14:paraId="3B839781" w14:textId="77777777" w:rsidR="00F8279F" w:rsidRPr="007955A0" w:rsidRDefault="00F8279F" w:rsidP="00F8279F">
      <w:pPr>
        <w:rPr>
          <w:rFonts w:cs="Arial"/>
          <w:sz w:val="22"/>
          <w:szCs w:val="22"/>
          <w:lang w:val="en-US"/>
        </w:rPr>
      </w:pPr>
    </w:p>
    <w:p w14:paraId="4258079B" w14:textId="77777777" w:rsidR="00F8279F" w:rsidRPr="007955A0" w:rsidRDefault="00F8279F" w:rsidP="00F8279F">
      <w:pPr>
        <w:rPr>
          <w:rFonts w:cs="Arial"/>
          <w:sz w:val="22"/>
          <w:szCs w:val="22"/>
        </w:rPr>
      </w:pPr>
      <w:r w:rsidRPr="007955A0">
        <w:rPr>
          <w:rFonts w:cs="Arial"/>
          <w:sz w:val="22"/>
          <w:szCs w:val="22"/>
        </w:rPr>
        <w:t xml:space="preserve">You will be extremely client- and customer-focussed, committed to keeping the customer at the heart of everything we do. You will have a real can-do, solution-focused attitude and be fully committed to providing a high level of support to </w:t>
      </w:r>
      <w:proofErr w:type="spellStart"/>
      <w:r w:rsidRPr="007955A0">
        <w:rPr>
          <w:rFonts w:cs="Arial"/>
          <w:sz w:val="22"/>
          <w:szCs w:val="22"/>
        </w:rPr>
        <w:t>whg’s</w:t>
      </w:r>
      <w:proofErr w:type="spellEnd"/>
      <w:r w:rsidRPr="007955A0">
        <w:rPr>
          <w:rFonts w:cs="Arial"/>
          <w:sz w:val="22"/>
          <w:szCs w:val="22"/>
        </w:rPr>
        <w:t xml:space="preserve"> Legal Services Team. </w:t>
      </w:r>
    </w:p>
    <w:p w14:paraId="42A6EECA" w14:textId="77777777" w:rsidR="00983467" w:rsidRPr="00983467" w:rsidRDefault="00983467" w:rsidP="00CB7772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19239958" w14:textId="77777777" w:rsidR="004F2657" w:rsidRDefault="004F2657" w:rsidP="00CB7772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p w14:paraId="05BE9645" w14:textId="77777777" w:rsidR="00983467" w:rsidRPr="00983467" w:rsidRDefault="00983467" w:rsidP="00CB7772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  <w:proofErr w:type="spellStart"/>
      <w:r>
        <w:rPr>
          <w:rFonts w:cs="Arial"/>
          <w:b/>
          <w:color w:val="002060"/>
          <w:sz w:val="24"/>
          <w:szCs w:val="24"/>
        </w:rPr>
        <w:t>whg’s</w:t>
      </w:r>
      <w:proofErr w:type="spellEnd"/>
      <w:r>
        <w:rPr>
          <w:rFonts w:cs="Arial"/>
          <w:b/>
          <w:color w:val="002060"/>
          <w:sz w:val="24"/>
          <w:szCs w:val="24"/>
        </w:rPr>
        <w:t xml:space="preserve"> values and behaviours </w:t>
      </w:r>
    </w:p>
    <w:p w14:paraId="7B978B9C" w14:textId="77777777" w:rsidR="00431502" w:rsidRDefault="00431502" w:rsidP="00CB7772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</w:p>
    <w:p w14:paraId="1DAFC0BD" w14:textId="77777777" w:rsidR="000A5803" w:rsidRDefault="000A5803" w:rsidP="000A5803">
      <w:pPr>
        <w:jc w:val="both"/>
        <w:rPr>
          <w:noProof/>
        </w:rPr>
      </w:pPr>
      <w:r w:rsidRPr="00FB7683">
        <w:rPr>
          <w:rFonts w:cs="Arial"/>
        </w:rPr>
        <w:t xml:space="preserve">At </w:t>
      </w:r>
      <w:proofErr w:type="spellStart"/>
      <w:r w:rsidRPr="00FB7683">
        <w:rPr>
          <w:rFonts w:cs="Arial"/>
        </w:rPr>
        <w:t>whg</w:t>
      </w:r>
      <w:proofErr w:type="spellEnd"/>
      <w:r w:rsidRPr="00FB7683">
        <w:rPr>
          <w:rFonts w:cs="Arial"/>
        </w:rPr>
        <w:t xml:space="preserve"> we have an ambitious aim to be an exceptional place to work that attracts, develops and retains talent. We recognise that our success as a business depends largely on the quality and commitment of our colleagues; our values set out in the Corporate Plan identify the behaviours that we expect all colleagues to display at </w:t>
      </w:r>
      <w:proofErr w:type="spellStart"/>
      <w:r w:rsidRPr="00FB7683">
        <w:rPr>
          <w:rFonts w:cs="Arial"/>
        </w:rPr>
        <w:t>whg</w:t>
      </w:r>
      <w:proofErr w:type="spellEnd"/>
      <w:r w:rsidRPr="00FB7683">
        <w:rPr>
          <w:rFonts w:cs="Arial"/>
        </w:rPr>
        <w:t>.</w:t>
      </w:r>
      <w:r w:rsidRPr="00FB7683">
        <w:rPr>
          <w:noProof/>
        </w:rPr>
        <w:t xml:space="preserve"> </w:t>
      </w:r>
    </w:p>
    <w:p w14:paraId="7A81E634" w14:textId="77777777" w:rsidR="000A5803" w:rsidRPr="00FB7683" w:rsidRDefault="000A5803" w:rsidP="000A5803">
      <w:pPr>
        <w:jc w:val="both"/>
        <w:rPr>
          <w:noProof/>
        </w:rPr>
      </w:pPr>
    </w:p>
    <w:p w14:paraId="64694709" w14:textId="77777777" w:rsidR="000A5803" w:rsidRDefault="000A5803" w:rsidP="000A5803">
      <w:pPr>
        <w:rPr>
          <w:noProof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</w:tblGrid>
      <w:tr w:rsidR="000A5803" w14:paraId="2E3BDC2E" w14:textId="77777777" w:rsidTr="00297A45">
        <w:trPr>
          <w:jc w:val="center"/>
        </w:trPr>
        <w:tc>
          <w:tcPr>
            <w:tcW w:w="1838" w:type="dxa"/>
            <w:hideMark/>
          </w:tcPr>
          <w:p w14:paraId="35D6FEB5" w14:textId="77777777" w:rsidR="000A5803" w:rsidRDefault="000A5803" w:rsidP="00297A45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CB56E26" wp14:editId="1777CA47">
                  <wp:simplePos x="0" y="0"/>
                  <wp:positionH relativeFrom="column">
                    <wp:posOffset>124873</wp:posOffset>
                  </wp:positionH>
                  <wp:positionV relativeFrom="paragraph">
                    <wp:posOffset>15148</wp:posOffset>
                  </wp:positionV>
                  <wp:extent cx="556895" cy="546100"/>
                  <wp:effectExtent l="0" t="0" r="0" b="6350"/>
                  <wp:wrapSquare wrapText="bothSides"/>
                  <wp:docPr id="146150716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3F648D0" w14:textId="77777777" w:rsidR="000A5803" w:rsidRDefault="000A5803" w:rsidP="00297A45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Trustworthy</w:t>
            </w:r>
          </w:p>
          <w:p w14:paraId="6A540BFB" w14:textId="77777777" w:rsidR="000A5803" w:rsidRDefault="000A5803" w:rsidP="00297A45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You can rely on us. We are honest in everything we do.</w:t>
            </w:r>
          </w:p>
          <w:p w14:paraId="355C93C5" w14:textId="77777777" w:rsidR="000A5803" w:rsidRDefault="000A5803" w:rsidP="00297A45">
            <w:pPr>
              <w:widowControl w:val="0"/>
              <w:rPr>
                <w:rFonts w:eastAsia="Calibri" w:cs="Arial"/>
                <w:color w:val="3B3C43"/>
                <w:sz w:val="22"/>
                <w:szCs w:val="22"/>
              </w:rPr>
            </w:pPr>
          </w:p>
          <w:p w14:paraId="3B9DC282" w14:textId="77777777" w:rsidR="000A5803" w:rsidRDefault="000A5803" w:rsidP="00297A45">
            <w:pPr>
              <w:widowControl w:val="0"/>
              <w:rPr>
                <w:rFonts w:eastAsia="Calibri" w:cs="Arial"/>
                <w:color w:val="3B3C43"/>
                <w:sz w:val="22"/>
                <w:szCs w:val="22"/>
              </w:rPr>
            </w:pPr>
          </w:p>
        </w:tc>
      </w:tr>
      <w:tr w:rsidR="000A5803" w14:paraId="2343C03E" w14:textId="77777777" w:rsidTr="00297A45">
        <w:trPr>
          <w:jc w:val="center"/>
        </w:trPr>
        <w:tc>
          <w:tcPr>
            <w:tcW w:w="1838" w:type="dxa"/>
            <w:hideMark/>
          </w:tcPr>
          <w:p w14:paraId="497A9A37" w14:textId="77777777" w:rsidR="000A5803" w:rsidRDefault="000A5803" w:rsidP="00297A45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4FD212A" wp14:editId="7DEDF6A3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247020234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7F7B1116" w14:textId="77777777" w:rsidR="000A5803" w:rsidRDefault="000A5803" w:rsidP="00297A45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Accountable</w:t>
            </w:r>
          </w:p>
          <w:p w14:paraId="2F4B626B" w14:textId="77777777" w:rsidR="000A5803" w:rsidRDefault="000A5803" w:rsidP="00297A45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Taking responsibility for our actions and owning the delivery of our promises.</w:t>
            </w:r>
          </w:p>
          <w:p w14:paraId="7A0B6C39" w14:textId="77777777" w:rsidR="000A5803" w:rsidRDefault="000A5803" w:rsidP="00297A45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A5803" w14:paraId="7F4A1D78" w14:textId="77777777" w:rsidTr="00297A45">
        <w:trPr>
          <w:jc w:val="center"/>
        </w:trPr>
        <w:tc>
          <w:tcPr>
            <w:tcW w:w="1838" w:type="dxa"/>
            <w:hideMark/>
          </w:tcPr>
          <w:p w14:paraId="7932D5F9" w14:textId="77777777" w:rsidR="000A5803" w:rsidRDefault="000A5803" w:rsidP="00297A45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D1BB5C4" wp14:editId="1B18DF12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576646586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2E47AE4A" w14:textId="77777777" w:rsidR="000A5803" w:rsidRDefault="000A5803" w:rsidP="00297A45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</w:p>
          <w:p w14:paraId="0EF6180A" w14:textId="77777777" w:rsidR="000A5803" w:rsidRDefault="000A5803" w:rsidP="00297A45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Excellent</w:t>
            </w:r>
          </w:p>
          <w:p w14:paraId="1204F23B" w14:textId="77777777" w:rsidR="000A5803" w:rsidRDefault="000A5803" w:rsidP="00297A45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 xml:space="preserve">Striving to be the best and delivering the best outcomes for </w:t>
            </w:r>
            <w:r>
              <w:rPr>
                <w:rFonts w:eastAsia="Calibri" w:cs="Arial"/>
                <w:color w:val="3B3C43"/>
                <w:sz w:val="18"/>
                <w:szCs w:val="18"/>
              </w:rPr>
              <w:t>customers and the organisation.</w:t>
            </w:r>
          </w:p>
          <w:p w14:paraId="62CD768E" w14:textId="77777777" w:rsidR="000A5803" w:rsidRDefault="000A5803" w:rsidP="00297A45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A5803" w14:paraId="1B5B3F25" w14:textId="77777777" w:rsidTr="00297A45">
        <w:trPr>
          <w:jc w:val="center"/>
        </w:trPr>
        <w:tc>
          <w:tcPr>
            <w:tcW w:w="1838" w:type="dxa"/>
            <w:hideMark/>
          </w:tcPr>
          <w:p w14:paraId="59597669" w14:textId="77777777" w:rsidR="000A5803" w:rsidRDefault="000A5803" w:rsidP="00297A45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432783A" wp14:editId="41EC0B3C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325962956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582070B0" w14:textId="77777777" w:rsidR="000A5803" w:rsidRDefault="000A5803" w:rsidP="00297A45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</w:p>
          <w:p w14:paraId="6F8FE1E8" w14:textId="77777777" w:rsidR="000A5803" w:rsidRDefault="000A5803" w:rsidP="00297A45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Respectful</w:t>
            </w:r>
          </w:p>
          <w:p w14:paraId="7DDA768A" w14:textId="77777777" w:rsidR="000A5803" w:rsidRDefault="000A5803" w:rsidP="00297A45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Valuing people and treating everyone with empathy and fairness.</w:t>
            </w:r>
          </w:p>
          <w:p w14:paraId="410296AD" w14:textId="77777777" w:rsidR="000A5803" w:rsidRDefault="000A5803" w:rsidP="00297A45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A5803" w14:paraId="295C805E" w14:textId="77777777" w:rsidTr="00297A45">
        <w:trPr>
          <w:jc w:val="center"/>
        </w:trPr>
        <w:tc>
          <w:tcPr>
            <w:tcW w:w="1838" w:type="dxa"/>
            <w:hideMark/>
          </w:tcPr>
          <w:p w14:paraId="16922F2F" w14:textId="77777777" w:rsidR="000A5803" w:rsidRDefault="000A5803" w:rsidP="00297A45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8C2ECD1" wp14:editId="490401D7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564805907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0128CF28" w14:textId="77777777" w:rsidR="000A5803" w:rsidRDefault="000A5803" w:rsidP="00297A45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</w:p>
          <w:p w14:paraId="159FE409" w14:textId="77777777" w:rsidR="000A5803" w:rsidRDefault="000A5803" w:rsidP="00297A45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Collaborative</w:t>
            </w:r>
          </w:p>
          <w:p w14:paraId="31FBF115" w14:textId="77777777" w:rsidR="000A5803" w:rsidRDefault="000A5803" w:rsidP="00297A45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Achieving great things by working together.</w:t>
            </w:r>
          </w:p>
        </w:tc>
      </w:tr>
    </w:tbl>
    <w:p w14:paraId="0D0CFB46" w14:textId="3D063101" w:rsidR="00431502" w:rsidRPr="008572A7" w:rsidRDefault="00431502" w:rsidP="000A5803">
      <w:pPr>
        <w:widowControl w:val="0"/>
        <w:pBdr>
          <w:top w:val="nil"/>
          <w:left w:val="nil"/>
          <w:bottom w:val="nil"/>
          <w:right w:val="nil"/>
          <w:between w:val="nil"/>
        </w:pBdr>
        <w:ind w:left="455"/>
        <w:contextualSpacing/>
        <w:jc w:val="both"/>
        <w:rPr>
          <w:rFonts w:cs="Arial"/>
          <w:sz w:val="22"/>
          <w:szCs w:val="22"/>
        </w:rPr>
      </w:pPr>
    </w:p>
    <w:sectPr w:rsidR="00431502" w:rsidRPr="008572A7" w:rsidSect="00183F35">
      <w:headerReference w:type="default" r:id="rId13"/>
      <w:footerReference w:type="default" r:id="rId14"/>
      <w:pgSz w:w="16838" w:h="11906" w:orient="landscape"/>
      <w:pgMar w:top="1440" w:right="1387" w:bottom="1276" w:left="1440" w:header="34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D600B" w14:textId="77777777" w:rsidR="00180F59" w:rsidRDefault="00180F59" w:rsidP="00570D4A">
      <w:r>
        <w:separator/>
      </w:r>
    </w:p>
  </w:endnote>
  <w:endnote w:type="continuationSeparator" w:id="0">
    <w:p w14:paraId="1FBE3BE2" w14:textId="77777777" w:rsidR="00180F59" w:rsidRDefault="00180F59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2889" w14:textId="77777777" w:rsidR="00570D4A" w:rsidRPr="00570D4A" w:rsidRDefault="00570D4A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</w:t>
    </w:r>
    <w:proofErr w:type="spellStart"/>
    <w:r w:rsidRPr="00570D4A">
      <w:rPr>
        <w:rFonts w:cs="Arial"/>
        <w:sz w:val="16"/>
        <w:szCs w:val="16"/>
      </w:rPr>
      <w:t>whg</w:t>
    </w:r>
    <w:proofErr w:type="spellEnd"/>
    <w:r w:rsidRPr="00570D4A">
      <w:rPr>
        <w:rFonts w:cs="Arial"/>
        <w:sz w:val="16"/>
        <w:szCs w:val="16"/>
      </w:rPr>
      <w:t>.</w:t>
    </w:r>
  </w:p>
  <w:p w14:paraId="40EFC44B" w14:textId="77777777" w:rsidR="00570D4A" w:rsidRDefault="00570D4A">
    <w:pPr>
      <w:pStyle w:val="Footer"/>
    </w:pPr>
  </w:p>
  <w:p w14:paraId="494A57C0" w14:textId="77777777" w:rsidR="00570D4A" w:rsidRDefault="0057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A47B2" w14:textId="77777777" w:rsidR="00180F59" w:rsidRDefault="00180F59" w:rsidP="00570D4A">
      <w:r>
        <w:separator/>
      </w:r>
    </w:p>
  </w:footnote>
  <w:footnote w:type="continuationSeparator" w:id="0">
    <w:p w14:paraId="302AD1C8" w14:textId="77777777" w:rsidR="00180F59" w:rsidRDefault="00180F59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2735" w14:textId="34587BD0" w:rsidR="00686D62" w:rsidRDefault="00F8279F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>Legal Assistant</w:t>
    </w:r>
    <w:r w:rsidR="00D74210">
      <w:rPr>
        <w:rFonts w:cs="Arial"/>
        <w:b/>
        <w:noProof/>
        <w:color w:val="002060"/>
        <w:sz w:val="32"/>
        <w:szCs w:val="32"/>
      </w:rPr>
      <w:tab/>
    </w:r>
    <w:r w:rsidR="00D74210">
      <w:rPr>
        <w:rFonts w:cs="Arial"/>
        <w:b/>
        <w:noProof/>
        <w:color w:val="002060"/>
        <w:sz w:val="32"/>
        <w:szCs w:val="32"/>
      </w:rPr>
      <w:tab/>
    </w:r>
    <w:r w:rsidR="00D74210">
      <w:rPr>
        <w:rFonts w:cs="Arial"/>
        <w:b/>
        <w:noProof/>
        <w:color w:val="002060"/>
        <w:sz w:val="32"/>
        <w:szCs w:val="3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824C0A" w:rsidRPr="00EB3D5E">
      <w:rPr>
        <w:rFonts w:cs="Arial"/>
        <w:noProof/>
        <w:sz w:val="22"/>
        <w:szCs w:val="22"/>
      </w:rPr>
      <w:drawing>
        <wp:inline distT="0" distB="0" distL="0" distR="0" wp14:anchorId="263DD1BC" wp14:editId="1B876308">
          <wp:extent cx="1219200" cy="647700"/>
          <wp:effectExtent l="0" t="0" r="0" b="0"/>
          <wp:docPr id="1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EDCFE" w14:textId="77777777" w:rsidR="00686D62" w:rsidRDefault="006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9B5"/>
    <w:multiLevelType w:val="hybridMultilevel"/>
    <w:tmpl w:val="5C44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642EB5"/>
    <w:multiLevelType w:val="hybridMultilevel"/>
    <w:tmpl w:val="927C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531A88"/>
    <w:multiLevelType w:val="hybridMultilevel"/>
    <w:tmpl w:val="F6D8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C575D"/>
    <w:multiLevelType w:val="hybridMultilevel"/>
    <w:tmpl w:val="AD48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D66050D"/>
    <w:multiLevelType w:val="hybridMultilevel"/>
    <w:tmpl w:val="D8BC4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DD772CB"/>
    <w:multiLevelType w:val="hybridMultilevel"/>
    <w:tmpl w:val="2698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A8499E"/>
    <w:multiLevelType w:val="hybridMultilevel"/>
    <w:tmpl w:val="F76EB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B51480"/>
    <w:multiLevelType w:val="hybridMultilevel"/>
    <w:tmpl w:val="5C186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D3057"/>
    <w:multiLevelType w:val="hybridMultilevel"/>
    <w:tmpl w:val="4C40A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0681402">
    <w:abstractNumId w:val="9"/>
  </w:num>
  <w:num w:numId="2" w16cid:durableId="310447168">
    <w:abstractNumId w:val="9"/>
  </w:num>
  <w:num w:numId="3" w16cid:durableId="1163735497">
    <w:abstractNumId w:val="21"/>
  </w:num>
  <w:num w:numId="4" w16cid:durableId="1714454381">
    <w:abstractNumId w:val="20"/>
  </w:num>
  <w:num w:numId="5" w16cid:durableId="1245652947">
    <w:abstractNumId w:val="17"/>
  </w:num>
  <w:num w:numId="6" w16cid:durableId="978875842">
    <w:abstractNumId w:val="8"/>
  </w:num>
  <w:num w:numId="7" w16cid:durableId="410929041">
    <w:abstractNumId w:val="18"/>
  </w:num>
  <w:num w:numId="8" w16cid:durableId="930433390">
    <w:abstractNumId w:val="13"/>
  </w:num>
  <w:num w:numId="9" w16cid:durableId="456143142">
    <w:abstractNumId w:val="11"/>
  </w:num>
  <w:num w:numId="10" w16cid:durableId="1768383844">
    <w:abstractNumId w:val="5"/>
  </w:num>
  <w:num w:numId="11" w16cid:durableId="655108620">
    <w:abstractNumId w:val="10"/>
  </w:num>
  <w:num w:numId="12" w16cid:durableId="2078894908">
    <w:abstractNumId w:val="2"/>
  </w:num>
  <w:num w:numId="13" w16cid:durableId="2023899622">
    <w:abstractNumId w:val="14"/>
  </w:num>
  <w:num w:numId="14" w16cid:durableId="56049133">
    <w:abstractNumId w:val="1"/>
  </w:num>
  <w:num w:numId="15" w16cid:durableId="1213080619">
    <w:abstractNumId w:val="25"/>
  </w:num>
  <w:num w:numId="16" w16cid:durableId="1909880784">
    <w:abstractNumId w:val="4"/>
  </w:num>
  <w:num w:numId="17" w16cid:durableId="1484468710">
    <w:abstractNumId w:val="19"/>
  </w:num>
  <w:num w:numId="18" w16cid:durableId="1472405978">
    <w:abstractNumId w:val="12"/>
  </w:num>
  <w:num w:numId="19" w16cid:durableId="1272787478">
    <w:abstractNumId w:val="6"/>
  </w:num>
  <w:num w:numId="20" w16cid:durableId="1973440796">
    <w:abstractNumId w:val="7"/>
  </w:num>
  <w:num w:numId="21" w16cid:durableId="924388238">
    <w:abstractNumId w:val="3"/>
  </w:num>
  <w:num w:numId="22" w16cid:durableId="1348292152">
    <w:abstractNumId w:val="16"/>
  </w:num>
  <w:num w:numId="23" w16cid:durableId="596140797">
    <w:abstractNumId w:val="23"/>
  </w:num>
  <w:num w:numId="24" w16cid:durableId="1381587251">
    <w:abstractNumId w:val="0"/>
  </w:num>
  <w:num w:numId="25" w16cid:durableId="153499055">
    <w:abstractNumId w:val="24"/>
  </w:num>
  <w:num w:numId="26" w16cid:durableId="19697805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0357260">
    <w:abstractNumId w:val="22"/>
  </w:num>
  <w:num w:numId="28" w16cid:durableId="1385594285">
    <w:abstractNumId w:val="15"/>
  </w:num>
  <w:num w:numId="29" w16cid:durableId="1835225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242AD"/>
    <w:rsid w:val="0003462B"/>
    <w:rsid w:val="00034926"/>
    <w:rsid w:val="00041051"/>
    <w:rsid w:val="00043116"/>
    <w:rsid w:val="00045BF0"/>
    <w:rsid w:val="000503EB"/>
    <w:rsid w:val="00050650"/>
    <w:rsid w:val="00075C24"/>
    <w:rsid w:val="00093AAE"/>
    <w:rsid w:val="00097D7A"/>
    <w:rsid w:val="000A5026"/>
    <w:rsid w:val="000A5803"/>
    <w:rsid w:val="000A5DEC"/>
    <w:rsid w:val="000B307D"/>
    <w:rsid w:val="000C0993"/>
    <w:rsid w:val="000C281D"/>
    <w:rsid w:val="000D40B4"/>
    <w:rsid w:val="000F613A"/>
    <w:rsid w:val="0011013D"/>
    <w:rsid w:val="00112B94"/>
    <w:rsid w:val="00135602"/>
    <w:rsid w:val="0016037D"/>
    <w:rsid w:val="00161B7E"/>
    <w:rsid w:val="0016501D"/>
    <w:rsid w:val="00180F59"/>
    <w:rsid w:val="00183F35"/>
    <w:rsid w:val="001A0396"/>
    <w:rsid w:val="001A2879"/>
    <w:rsid w:val="001A3DB3"/>
    <w:rsid w:val="001B68A7"/>
    <w:rsid w:val="001C20C6"/>
    <w:rsid w:val="001C5D77"/>
    <w:rsid w:val="001F1C3C"/>
    <w:rsid w:val="00267C83"/>
    <w:rsid w:val="002C75F8"/>
    <w:rsid w:val="002D22BC"/>
    <w:rsid w:val="002E7967"/>
    <w:rsid w:val="002F1034"/>
    <w:rsid w:val="002F15AA"/>
    <w:rsid w:val="00314734"/>
    <w:rsid w:val="00333784"/>
    <w:rsid w:val="0034766C"/>
    <w:rsid w:val="00360AFB"/>
    <w:rsid w:val="003655AD"/>
    <w:rsid w:val="00370B71"/>
    <w:rsid w:val="0037519D"/>
    <w:rsid w:val="0039108E"/>
    <w:rsid w:val="003A763E"/>
    <w:rsid w:val="003B6851"/>
    <w:rsid w:val="00407075"/>
    <w:rsid w:val="00412FE0"/>
    <w:rsid w:val="00431502"/>
    <w:rsid w:val="0043316C"/>
    <w:rsid w:val="00434256"/>
    <w:rsid w:val="00434818"/>
    <w:rsid w:val="0043630E"/>
    <w:rsid w:val="0044632B"/>
    <w:rsid w:val="0044657B"/>
    <w:rsid w:val="00453584"/>
    <w:rsid w:val="004A272E"/>
    <w:rsid w:val="004B3798"/>
    <w:rsid w:val="004B608E"/>
    <w:rsid w:val="004E1CCC"/>
    <w:rsid w:val="004F0AD9"/>
    <w:rsid w:val="004F2657"/>
    <w:rsid w:val="004F2F1B"/>
    <w:rsid w:val="004F36D5"/>
    <w:rsid w:val="00511463"/>
    <w:rsid w:val="00532CD9"/>
    <w:rsid w:val="00543192"/>
    <w:rsid w:val="00543253"/>
    <w:rsid w:val="0055027A"/>
    <w:rsid w:val="00565F71"/>
    <w:rsid w:val="005679A5"/>
    <w:rsid w:val="00570D4A"/>
    <w:rsid w:val="00576C9A"/>
    <w:rsid w:val="005823D3"/>
    <w:rsid w:val="005837A3"/>
    <w:rsid w:val="005A1A68"/>
    <w:rsid w:val="005E01BF"/>
    <w:rsid w:val="005E2796"/>
    <w:rsid w:val="005F4CF7"/>
    <w:rsid w:val="006001A3"/>
    <w:rsid w:val="00615C16"/>
    <w:rsid w:val="00645451"/>
    <w:rsid w:val="00654124"/>
    <w:rsid w:val="00661A17"/>
    <w:rsid w:val="00685526"/>
    <w:rsid w:val="00686D62"/>
    <w:rsid w:val="00687E57"/>
    <w:rsid w:val="006912D8"/>
    <w:rsid w:val="006A0077"/>
    <w:rsid w:val="006A7646"/>
    <w:rsid w:val="006B6E2E"/>
    <w:rsid w:val="006F22DC"/>
    <w:rsid w:val="00703922"/>
    <w:rsid w:val="00703BBD"/>
    <w:rsid w:val="007062D7"/>
    <w:rsid w:val="007064C3"/>
    <w:rsid w:val="0073698D"/>
    <w:rsid w:val="00753D1A"/>
    <w:rsid w:val="00774221"/>
    <w:rsid w:val="0077565E"/>
    <w:rsid w:val="007801FD"/>
    <w:rsid w:val="00792666"/>
    <w:rsid w:val="007939D9"/>
    <w:rsid w:val="00793D29"/>
    <w:rsid w:val="007B73C3"/>
    <w:rsid w:val="007B7551"/>
    <w:rsid w:val="007C4C9A"/>
    <w:rsid w:val="007C596F"/>
    <w:rsid w:val="007D172E"/>
    <w:rsid w:val="007D320E"/>
    <w:rsid w:val="007E49CB"/>
    <w:rsid w:val="007F2E24"/>
    <w:rsid w:val="00824C0A"/>
    <w:rsid w:val="00852961"/>
    <w:rsid w:val="008572A7"/>
    <w:rsid w:val="008725E6"/>
    <w:rsid w:val="008A1C81"/>
    <w:rsid w:val="008C23D8"/>
    <w:rsid w:val="008C4B33"/>
    <w:rsid w:val="008F0D04"/>
    <w:rsid w:val="008F589F"/>
    <w:rsid w:val="00906241"/>
    <w:rsid w:val="0091288C"/>
    <w:rsid w:val="00914E01"/>
    <w:rsid w:val="00921C24"/>
    <w:rsid w:val="00922172"/>
    <w:rsid w:val="0092612C"/>
    <w:rsid w:val="00935788"/>
    <w:rsid w:val="00953A7A"/>
    <w:rsid w:val="00955BBC"/>
    <w:rsid w:val="009646DA"/>
    <w:rsid w:val="00964C68"/>
    <w:rsid w:val="00983467"/>
    <w:rsid w:val="009A2373"/>
    <w:rsid w:val="00A215BD"/>
    <w:rsid w:val="00A4172B"/>
    <w:rsid w:val="00A5612D"/>
    <w:rsid w:val="00A624D4"/>
    <w:rsid w:val="00A62592"/>
    <w:rsid w:val="00A629CA"/>
    <w:rsid w:val="00A72C57"/>
    <w:rsid w:val="00A853D0"/>
    <w:rsid w:val="00AA02FA"/>
    <w:rsid w:val="00AA16BD"/>
    <w:rsid w:val="00AC1077"/>
    <w:rsid w:val="00AC2E56"/>
    <w:rsid w:val="00AD1D31"/>
    <w:rsid w:val="00B16781"/>
    <w:rsid w:val="00B16F23"/>
    <w:rsid w:val="00B2110E"/>
    <w:rsid w:val="00B26FD7"/>
    <w:rsid w:val="00B54E1C"/>
    <w:rsid w:val="00B563D0"/>
    <w:rsid w:val="00B6141D"/>
    <w:rsid w:val="00B62A92"/>
    <w:rsid w:val="00B72CE7"/>
    <w:rsid w:val="00B832AF"/>
    <w:rsid w:val="00B85345"/>
    <w:rsid w:val="00BB1F11"/>
    <w:rsid w:val="00BC65AC"/>
    <w:rsid w:val="00BD1293"/>
    <w:rsid w:val="00BE408C"/>
    <w:rsid w:val="00BE4D08"/>
    <w:rsid w:val="00BF4F21"/>
    <w:rsid w:val="00C20FCE"/>
    <w:rsid w:val="00C30526"/>
    <w:rsid w:val="00C3646D"/>
    <w:rsid w:val="00C76FA9"/>
    <w:rsid w:val="00C8317D"/>
    <w:rsid w:val="00C86DE6"/>
    <w:rsid w:val="00CA1B22"/>
    <w:rsid w:val="00CA1B24"/>
    <w:rsid w:val="00CB30DB"/>
    <w:rsid w:val="00CB7772"/>
    <w:rsid w:val="00CD1E89"/>
    <w:rsid w:val="00CD756D"/>
    <w:rsid w:val="00CF5909"/>
    <w:rsid w:val="00D157C0"/>
    <w:rsid w:val="00D15EFB"/>
    <w:rsid w:val="00D2128D"/>
    <w:rsid w:val="00D22446"/>
    <w:rsid w:val="00D275D8"/>
    <w:rsid w:val="00D4210E"/>
    <w:rsid w:val="00D47B04"/>
    <w:rsid w:val="00D55D5A"/>
    <w:rsid w:val="00D60045"/>
    <w:rsid w:val="00D72039"/>
    <w:rsid w:val="00D74210"/>
    <w:rsid w:val="00D770B4"/>
    <w:rsid w:val="00D81D11"/>
    <w:rsid w:val="00D81D4A"/>
    <w:rsid w:val="00D9287E"/>
    <w:rsid w:val="00DA6F27"/>
    <w:rsid w:val="00DC604C"/>
    <w:rsid w:val="00DD0FFD"/>
    <w:rsid w:val="00DE16C7"/>
    <w:rsid w:val="00DE6858"/>
    <w:rsid w:val="00DF5545"/>
    <w:rsid w:val="00DF5F08"/>
    <w:rsid w:val="00E20474"/>
    <w:rsid w:val="00E33425"/>
    <w:rsid w:val="00E36378"/>
    <w:rsid w:val="00E43BAA"/>
    <w:rsid w:val="00E70916"/>
    <w:rsid w:val="00E71DBE"/>
    <w:rsid w:val="00E9213D"/>
    <w:rsid w:val="00EA1FD9"/>
    <w:rsid w:val="00EA7369"/>
    <w:rsid w:val="00EB3D5E"/>
    <w:rsid w:val="00EB4371"/>
    <w:rsid w:val="00ED6931"/>
    <w:rsid w:val="00F156C7"/>
    <w:rsid w:val="00F2711A"/>
    <w:rsid w:val="00F51D98"/>
    <w:rsid w:val="00F60D21"/>
    <w:rsid w:val="00F64709"/>
    <w:rsid w:val="00F654BB"/>
    <w:rsid w:val="00F8279F"/>
    <w:rsid w:val="00F84551"/>
    <w:rsid w:val="00F97741"/>
    <w:rsid w:val="00FB5589"/>
    <w:rsid w:val="00FC30A0"/>
    <w:rsid w:val="00FC3962"/>
    <w:rsid w:val="00FE46C7"/>
    <w:rsid w:val="00FE5336"/>
    <w:rsid w:val="00FF38A0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A011D8"/>
  <w15:chartTrackingRefBased/>
  <w15:docId w15:val="{BBB3AE9E-CB03-45A2-8B94-84E70664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NoSpacing">
    <w:name w:val="No Spacing"/>
    <w:uiPriority w:val="1"/>
    <w:qFormat/>
    <w:rsid w:val="00DF5545"/>
    <w:rPr>
      <w:rFonts w:ascii="Arial" w:eastAsia="Times New Roman" w:hAnsi="Arial"/>
    </w:rPr>
  </w:style>
  <w:style w:type="paragraph" w:customStyle="1" w:styleId="Default">
    <w:name w:val="Default"/>
    <w:rsid w:val="00B26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A580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455C-32FC-4D7D-8CD5-7EA5829F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Charlotte Falconer</cp:lastModifiedBy>
  <cp:revision>2</cp:revision>
  <dcterms:created xsi:type="dcterms:W3CDTF">2024-08-06T14:38:00Z</dcterms:created>
  <dcterms:modified xsi:type="dcterms:W3CDTF">2024-08-06T14:38:00Z</dcterms:modified>
</cp:coreProperties>
</file>