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590A" w14:textId="25794907" w:rsidR="001A2879" w:rsidRPr="00407075" w:rsidRDefault="00BB1F11" w:rsidP="004E1CCC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>To</w:t>
      </w:r>
      <w:r w:rsidR="000D5693">
        <w:rPr>
          <w:rFonts w:cs="Arial"/>
          <w:sz w:val="22"/>
          <w:szCs w:val="22"/>
        </w:rPr>
        <w:t xml:space="preserve"> provide </w:t>
      </w:r>
      <w:r w:rsidRPr="00387290">
        <w:rPr>
          <w:rFonts w:cs="Arial"/>
          <w:sz w:val="22"/>
          <w:szCs w:val="22"/>
        </w:rPr>
        <w:t xml:space="preserve">high quality legal advice </w:t>
      </w:r>
      <w:r w:rsidR="000D5693" w:rsidRPr="00387290">
        <w:rPr>
          <w:rFonts w:cs="Arial"/>
          <w:sz w:val="22"/>
          <w:szCs w:val="22"/>
        </w:rPr>
        <w:t xml:space="preserve">and support </w:t>
      </w:r>
      <w:r w:rsidR="000D5693">
        <w:rPr>
          <w:rFonts w:cs="Arial"/>
          <w:sz w:val="22"/>
          <w:szCs w:val="22"/>
        </w:rPr>
        <w:t xml:space="preserve">to </w:t>
      </w:r>
      <w:proofErr w:type="spellStart"/>
      <w:r w:rsidR="000D5693">
        <w:rPr>
          <w:rFonts w:cs="Arial"/>
          <w:sz w:val="22"/>
          <w:szCs w:val="22"/>
        </w:rPr>
        <w:t>whg</w:t>
      </w:r>
      <w:proofErr w:type="spellEnd"/>
      <w:r w:rsidR="000D5693">
        <w:rPr>
          <w:rFonts w:cs="Arial"/>
          <w:sz w:val="22"/>
          <w:szCs w:val="22"/>
        </w:rPr>
        <w:t xml:space="preserve"> colleagues</w:t>
      </w:r>
      <w:r w:rsidR="00E7428B">
        <w:rPr>
          <w:rFonts w:cs="Arial"/>
          <w:sz w:val="22"/>
          <w:szCs w:val="22"/>
        </w:rPr>
        <w:t xml:space="preserve">, </w:t>
      </w:r>
      <w:r w:rsidR="00B5169E">
        <w:rPr>
          <w:rFonts w:cs="Arial"/>
          <w:sz w:val="22"/>
          <w:szCs w:val="22"/>
        </w:rPr>
        <w:t>dealing with h</w:t>
      </w:r>
      <w:r w:rsidR="00E7428B">
        <w:rPr>
          <w:rFonts w:cs="Arial"/>
          <w:sz w:val="22"/>
          <w:szCs w:val="22"/>
        </w:rPr>
        <w:t>ousing related matters</w:t>
      </w:r>
      <w:r w:rsidR="00B5169E">
        <w:rPr>
          <w:rFonts w:cs="Arial"/>
          <w:sz w:val="22"/>
          <w:szCs w:val="22"/>
        </w:rPr>
        <w:t>, housing condition claims</w:t>
      </w:r>
      <w:r>
        <w:rPr>
          <w:rFonts w:cs="Arial"/>
          <w:sz w:val="22"/>
          <w:szCs w:val="22"/>
        </w:rPr>
        <w:t xml:space="preserve"> </w:t>
      </w:r>
      <w:r w:rsidRPr="00387290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deal</w:t>
      </w:r>
      <w:r w:rsidR="00B5169E">
        <w:rPr>
          <w:rFonts w:cs="Arial"/>
          <w:sz w:val="22"/>
          <w:szCs w:val="22"/>
        </w:rPr>
        <w:t>ing</w:t>
      </w:r>
      <w:r w:rsidR="000D569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with associated applications and claims. </w:t>
      </w:r>
      <w:r w:rsidRPr="00387290">
        <w:rPr>
          <w:rFonts w:cs="Arial"/>
          <w:sz w:val="22"/>
          <w:szCs w:val="22"/>
        </w:rPr>
        <w:t xml:space="preserve">  </w:t>
      </w:r>
    </w:p>
    <w:p w14:paraId="7543A23E" w14:textId="1895D01B" w:rsidR="006001A3" w:rsidRPr="006001A3" w:rsidRDefault="006001A3" w:rsidP="004E1CCC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 w:rsidR="00407075">
        <w:rPr>
          <w:rFonts w:cs="Arial"/>
          <w:color w:val="000000"/>
          <w:sz w:val="22"/>
          <w:szCs w:val="22"/>
          <w:u w:val="single"/>
        </w:rPr>
        <w:tab/>
      </w:r>
    </w:p>
    <w:p w14:paraId="3EB41B0F" w14:textId="77777777" w:rsidR="004E1CCC" w:rsidRDefault="004E1CCC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1E7EF614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170BE8B5" w14:textId="77777777" w:rsidR="00BB1F11" w:rsidRDefault="00BB1F11" w:rsidP="00BB1F11">
      <w:pPr>
        <w:jc w:val="both"/>
        <w:rPr>
          <w:rFonts w:cs="Arial"/>
          <w:sz w:val="22"/>
          <w:szCs w:val="22"/>
        </w:rPr>
      </w:pPr>
    </w:p>
    <w:p w14:paraId="65308963" w14:textId="0F4D52FB" w:rsidR="00E57FE8" w:rsidRDefault="000D5693" w:rsidP="00BB1F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BB1F11" w:rsidRPr="00387290">
        <w:rPr>
          <w:rFonts w:cs="Arial"/>
          <w:sz w:val="22"/>
          <w:szCs w:val="22"/>
        </w:rPr>
        <w:t xml:space="preserve">rovide </w:t>
      </w:r>
      <w:r w:rsidR="000022CB">
        <w:rPr>
          <w:rFonts w:cs="Arial"/>
          <w:sz w:val="22"/>
          <w:szCs w:val="22"/>
        </w:rPr>
        <w:t xml:space="preserve">professional, accurate and </w:t>
      </w:r>
      <w:r w:rsidR="00604EE1" w:rsidRPr="00387290">
        <w:rPr>
          <w:rFonts w:cs="Arial"/>
          <w:sz w:val="22"/>
          <w:szCs w:val="22"/>
        </w:rPr>
        <w:t>high-quality</w:t>
      </w:r>
      <w:r w:rsidR="00BB1F11" w:rsidRPr="00387290">
        <w:rPr>
          <w:rFonts w:cs="Arial"/>
          <w:sz w:val="22"/>
          <w:szCs w:val="22"/>
        </w:rPr>
        <w:t xml:space="preserve"> legal </w:t>
      </w:r>
      <w:r>
        <w:rPr>
          <w:rFonts w:cs="Arial"/>
          <w:sz w:val="22"/>
          <w:szCs w:val="22"/>
        </w:rPr>
        <w:t xml:space="preserve">advice and support </w:t>
      </w:r>
      <w:r w:rsidR="00521C52">
        <w:rPr>
          <w:rFonts w:cs="Arial"/>
          <w:sz w:val="22"/>
          <w:szCs w:val="22"/>
        </w:rPr>
        <w:t xml:space="preserve">to the Housing Litigation </w:t>
      </w:r>
      <w:r w:rsidR="00886C44">
        <w:rPr>
          <w:rFonts w:cs="Arial"/>
          <w:sz w:val="22"/>
          <w:szCs w:val="22"/>
        </w:rPr>
        <w:t>M</w:t>
      </w:r>
      <w:r w:rsidR="00521C52">
        <w:rPr>
          <w:rFonts w:cs="Arial"/>
          <w:sz w:val="22"/>
          <w:szCs w:val="22"/>
        </w:rPr>
        <w:t xml:space="preserve">anager </w:t>
      </w:r>
      <w:r w:rsidR="00BB1F11" w:rsidRPr="00387290">
        <w:rPr>
          <w:rFonts w:cs="Arial"/>
          <w:sz w:val="22"/>
          <w:szCs w:val="22"/>
        </w:rPr>
        <w:t xml:space="preserve">on </w:t>
      </w:r>
      <w:r w:rsidR="00BB1F11">
        <w:rPr>
          <w:rFonts w:cs="Arial"/>
          <w:sz w:val="22"/>
          <w:szCs w:val="22"/>
        </w:rPr>
        <w:t xml:space="preserve">housing </w:t>
      </w:r>
      <w:r w:rsidR="00BB1F11" w:rsidRPr="00387290">
        <w:rPr>
          <w:rFonts w:cs="Arial"/>
          <w:sz w:val="22"/>
          <w:szCs w:val="22"/>
        </w:rPr>
        <w:t>matters</w:t>
      </w:r>
      <w:r w:rsidR="00126DA6">
        <w:rPr>
          <w:rFonts w:cs="Arial"/>
          <w:sz w:val="22"/>
          <w:szCs w:val="22"/>
        </w:rPr>
        <w:t xml:space="preserve"> including housing condition claims and S82 proceedings</w:t>
      </w:r>
      <w:r w:rsidR="009A2BCD">
        <w:rPr>
          <w:rFonts w:cs="Arial"/>
          <w:sz w:val="22"/>
          <w:szCs w:val="22"/>
        </w:rPr>
        <w:t xml:space="preserve">. </w:t>
      </w:r>
      <w:r w:rsidR="00BB1F11" w:rsidRPr="00387290">
        <w:rPr>
          <w:rFonts w:cs="Arial"/>
          <w:sz w:val="22"/>
          <w:szCs w:val="22"/>
        </w:rPr>
        <w:t>Carry out all necessary work to defend claims</w:t>
      </w:r>
      <w:r w:rsidR="00E57FE8">
        <w:rPr>
          <w:rFonts w:cs="Arial"/>
          <w:sz w:val="22"/>
          <w:szCs w:val="22"/>
        </w:rPr>
        <w:t xml:space="preserve"> </w:t>
      </w:r>
      <w:r w:rsidR="00BB1F11" w:rsidRPr="00387290">
        <w:rPr>
          <w:rFonts w:cs="Arial"/>
          <w:sz w:val="22"/>
          <w:szCs w:val="22"/>
        </w:rPr>
        <w:t>and progress applications to their conclusion</w:t>
      </w:r>
      <w:r w:rsidR="005E2796">
        <w:rPr>
          <w:rFonts w:cs="Arial"/>
          <w:sz w:val="22"/>
          <w:szCs w:val="22"/>
        </w:rPr>
        <w:t>, seeking positive outcomes for customers where relevant</w:t>
      </w:r>
      <w:r w:rsidR="00BB1F11" w:rsidRPr="00387290">
        <w:rPr>
          <w:rFonts w:cs="Arial"/>
          <w:sz w:val="22"/>
          <w:szCs w:val="22"/>
        </w:rPr>
        <w:t>.</w:t>
      </w:r>
      <w:r w:rsidR="00E57FE8">
        <w:rPr>
          <w:rFonts w:cs="Arial"/>
          <w:sz w:val="22"/>
          <w:szCs w:val="22"/>
        </w:rPr>
        <w:t xml:space="preserve">  </w:t>
      </w:r>
    </w:p>
    <w:p w14:paraId="56F77E89" w14:textId="6FBE3BFD" w:rsidR="00C85882" w:rsidRDefault="00C85882" w:rsidP="00BB1F11">
      <w:pPr>
        <w:jc w:val="both"/>
        <w:rPr>
          <w:rFonts w:cs="Arial"/>
          <w:sz w:val="22"/>
          <w:szCs w:val="22"/>
        </w:rPr>
      </w:pPr>
    </w:p>
    <w:p w14:paraId="70103A2A" w14:textId="29A93E07" w:rsidR="00C85882" w:rsidRDefault="00C85882" w:rsidP="00BB1F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Provide support and cover arrangements </w:t>
      </w:r>
      <w:bookmarkStart w:id="0" w:name="_Hlk147133902"/>
      <w:r>
        <w:rPr>
          <w:rFonts w:cs="Arial"/>
          <w:sz w:val="22"/>
          <w:szCs w:val="22"/>
        </w:rPr>
        <w:t xml:space="preserve">for </w:t>
      </w:r>
      <w:r w:rsidR="007D2044">
        <w:rPr>
          <w:rFonts w:cs="Arial"/>
          <w:sz w:val="22"/>
          <w:szCs w:val="22"/>
        </w:rPr>
        <w:t>other Legal Services Team colleagues</w:t>
      </w:r>
      <w:bookmarkEnd w:id="0"/>
      <w:r>
        <w:rPr>
          <w:rFonts w:cs="Arial"/>
          <w:sz w:val="22"/>
          <w:szCs w:val="22"/>
        </w:rPr>
        <w:t xml:space="preserve">, </w:t>
      </w:r>
      <w:r w:rsidR="008406C9">
        <w:rPr>
          <w:rFonts w:cs="Arial"/>
          <w:sz w:val="22"/>
          <w:szCs w:val="22"/>
        </w:rPr>
        <w:t xml:space="preserve">assisting the team </w:t>
      </w:r>
      <w:r>
        <w:rPr>
          <w:rFonts w:cs="Arial"/>
          <w:sz w:val="22"/>
          <w:szCs w:val="22"/>
        </w:rPr>
        <w:t xml:space="preserve">with tenancy breaches including </w:t>
      </w:r>
      <w:r w:rsidR="008E25CD">
        <w:rPr>
          <w:rFonts w:cs="Arial"/>
          <w:sz w:val="22"/>
          <w:szCs w:val="22"/>
        </w:rPr>
        <w:t>anti-social</w:t>
      </w:r>
      <w:r>
        <w:rPr>
          <w:rFonts w:cs="Arial"/>
          <w:sz w:val="22"/>
          <w:szCs w:val="22"/>
        </w:rPr>
        <w:t xml:space="preserve"> behaviour</w:t>
      </w:r>
      <w:r w:rsidR="00126DA6">
        <w:rPr>
          <w:rFonts w:cs="Arial"/>
          <w:sz w:val="22"/>
          <w:szCs w:val="22"/>
        </w:rPr>
        <w:t>, without notice injunctions</w:t>
      </w:r>
      <w:r>
        <w:rPr>
          <w:rFonts w:cs="Arial"/>
          <w:sz w:val="22"/>
          <w:szCs w:val="22"/>
        </w:rPr>
        <w:t xml:space="preserve"> and other housing management related legal matters.    </w:t>
      </w:r>
    </w:p>
    <w:p w14:paraId="573B6ACB" w14:textId="77777777" w:rsidR="00E57FE8" w:rsidRPr="00387290" w:rsidRDefault="00E57FE8" w:rsidP="00BB1F11">
      <w:pPr>
        <w:jc w:val="both"/>
        <w:rPr>
          <w:rFonts w:cs="Arial"/>
          <w:sz w:val="22"/>
          <w:szCs w:val="22"/>
        </w:rPr>
      </w:pPr>
    </w:p>
    <w:p w14:paraId="2DD727AF" w14:textId="4C25ECCC" w:rsidR="00BB1F11" w:rsidRDefault="008406C9" w:rsidP="00BB1F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Assist in the p</w:t>
      </w:r>
      <w:r w:rsidR="00BB1F11" w:rsidRPr="00387290">
        <w:rPr>
          <w:rFonts w:cs="Arial"/>
          <w:sz w:val="22"/>
          <w:szCs w:val="22"/>
        </w:rPr>
        <w:t>repar</w:t>
      </w:r>
      <w:r>
        <w:rPr>
          <w:rFonts w:cs="Arial"/>
          <w:sz w:val="22"/>
          <w:szCs w:val="22"/>
        </w:rPr>
        <w:t>ation of</w:t>
      </w:r>
      <w:r w:rsidR="00BB1F11" w:rsidRPr="00387290">
        <w:rPr>
          <w:rFonts w:cs="Arial"/>
          <w:sz w:val="22"/>
          <w:szCs w:val="22"/>
        </w:rPr>
        <w:t xml:space="preserve"> </w:t>
      </w:r>
      <w:r w:rsidR="003B6659">
        <w:rPr>
          <w:rFonts w:cs="Arial"/>
          <w:sz w:val="22"/>
          <w:szCs w:val="22"/>
        </w:rPr>
        <w:t xml:space="preserve">claims, </w:t>
      </w:r>
      <w:r w:rsidR="00BB1F11" w:rsidRPr="00387290">
        <w:rPr>
          <w:rFonts w:cs="Arial"/>
          <w:sz w:val="22"/>
          <w:szCs w:val="22"/>
        </w:rPr>
        <w:t xml:space="preserve">pleadings, </w:t>
      </w:r>
      <w:r w:rsidR="0044430C">
        <w:rPr>
          <w:rFonts w:cs="Arial"/>
          <w:sz w:val="22"/>
          <w:szCs w:val="22"/>
        </w:rPr>
        <w:t xml:space="preserve">defences, </w:t>
      </w:r>
      <w:r w:rsidR="00BB1F11" w:rsidRPr="00387290">
        <w:rPr>
          <w:rFonts w:cs="Arial"/>
          <w:sz w:val="22"/>
          <w:szCs w:val="22"/>
        </w:rPr>
        <w:t xml:space="preserve">witness statements and correspondence at all necessary stages of proceedings, ensuring </w:t>
      </w:r>
      <w:r w:rsidR="00097D7A">
        <w:rPr>
          <w:rFonts w:cs="Arial"/>
          <w:sz w:val="22"/>
          <w:szCs w:val="22"/>
        </w:rPr>
        <w:t xml:space="preserve">court hearings and trials are attended as required by colleagues, other witnesses and counsel as required, and </w:t>
      </w:r>
      <w:r w:rsidR="00BB1F11" w:rsidRPr="00387290">
        <w:rPr>
          <w:rFonts w:cs="Arial"/>
          <w:sz w:val="22"/>
          <w:szCs w:val="22"/>
        </w:rPr>
        <w:t xml:space="preserve">court </w:t>
      </w:r>
      <w:r w:rsidR="00097D7A">
        <w:rPr>
          <w:rFonts w:cs="Arial"/>
          <w:sz w:val="22"/>
          <w:szCs w:val="22"/>
        </w:rPr>
        <w:t xml:space="preserve">attendees </w:t>
      </w:r>
      <w:r w:rsidR="00BB1F11" w:rsidRPr="00387290">
        <w:rPr>
          <w:rFonts w:cs="Arial"/>
          <w:sz w:val="22"/>
          <w:szCs w:val="22"/>
        </w:rPr>
        <w:t>receive all necessary information</w:t>
      </w:r>
      <w:r w:rsidR="00097D7A">
        <w:rPr>
          <w:rFonts w:cs="Arial"/>
          <w:sz w:val="22"/>
          <w:szCs w:val="22"/>
        </w:rPr>
        <w:t xml:space="preserve"> and support</w:t>
      </w:r>
      <w:r w:rsidR="00BB1F11" w:rsidRPr="00387290">
        <w:rPr>
          <w:rFonts w:cs="Arial"/>
          <w:sz w:val="22"/>
          <w:szCs w:val="22"/>
        </w:rPr>
        <w:t xml:space="preserve"> </w:t>
      </w:r>
      <w:r w:rsidR="00097D7A">
        <w:rPr>
          <w:rFonts w:cs="Arial"/>
          <w:sz w:val="22"/>
          <w:szCs w:val="22"/>
        </w:rPr>
        <w:t>to be</w:t>
      </w:r>
      <w:r w:rsidR="00BB1F11" w:rsidRPr="00387290">
        <w:rPr>
          <w:rFonts w:cs="Arial"/>
          <w:sz w:val="22"/>
          <w:szCs w:val="22"/>
        </w:rPr>
        <w:t xml:space="preserve"> fully prepared.</w:t>
      </w:r>
    </w:p>
    <w:p w14:paraId="6DE433ED" w14:textId="7A6811C2" w:rsidR="00097D7A" w:rsidRDefault="00097D7A" w:rsidP="00BB1F11">
      <w:pPr>
        <w:jc w:val="both"/>
        <w:rPr>
          <w:rFonts w:cs="Arial"/>
          <w:sz w:val="22"/>
          <w:szCs w:val="22"/>
        </w:rPr>
      </w:pPr>
    </w:p>
    <w:p w14:paraId="09223BC2" w14:textId="4137AB71" w:rsidR="00097D7A" w:rsidRPr="00387290" w:rsidRDefault="00097D7A" w:rsidP="00097D7A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>Maintain up-to-date knowledge and understanding of court procedures, Civil Procedure Rules</w:t>
      </w:r>
      <w:r>
        <w:rPr>
          <w:rFonts w:cs="Arial"/>
          <w:sz w:val="22"/>
          <w:szCs w:val="22"/>
        </w:rPr>
        <w:t xml:space="preserve">, </w:t>
      </w:r>
      <w:r w:rsidRPr="00387290">
        <w:rPr>
          <w:rFonts w:cs="Arial"/>
          <w:sz w:val="22"/>
          <w:szCs w:val="22"/>
        </w:rPr>
        <w:t xml:space="preserve">Pre-Action Protocols, legislation and </w:t>
      </w:r>
      <w:r w:rsidR="0044430C">
        <w:rPr>
          <w:rFonts w:cs="Arial"/>
          <w:sz w:val="22"/>
          <w:szCs w:val="22"/>
        </w:rPr>
        <w:t xml:space="preserve">relevant </w:t>
      </w:r>
      <w:r w:rsidRPr="00387290">
        <w:rPr>
          <w:rFonts w:cs="Arial"/>
          <w:sz w:val="22"/>
          <w:szCs w:val="22"/>
        </w:rPr>
        <w:t xml:space="preserve">case law. </w:t>
      </w:r>
    </w:p>
    <w:p w14:paraId="2E16A2F0" w14:textId="6AC2884F" w:rsidR="00E43BAA" w:rsidRPr="006001A3" w:rsidRDefault="00E43BAA" w:rsidP="00CB7772">
      <w:pPr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575912D" w14:textId="77777777" w:rsidR="004F2657" w:rsidRDefault="004F2657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7A4F49D4" w14:textId="30ACAA7D" w:rsidR="00EB3D5E" w:rsidRPr="00792666" w:rsidRDefault="00EB3D5E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</w:t>
      </w:r>
      <w:r w:rsidR="00793D29">
        <w:rPr>
          <w:rFonts w:cs="Arial"/>
          <w:b/>
          <w:color w:val="002060"/>
          <w:sz w:val="24"/>
          <w:szCs w:val="24"/>
        </w:rPr>
        <w:t>s</w:t>
      </w:r>
    </w:p>
    <w:p w14:paraId="4ED04C17" w14:textId="77777777" w:rsidR="00EB3D5E" w:rsidRPr="0043316C" w:rsidRDefault="00EB3D5E" w:rsidP="00CB7772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2366DC3B" w14:textId="0E4A8008" w:rsidR="00407075" w:rsidRDefault="00407075" w:rsidP="00407075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color w:val="000000"/>
          <w:sz w:val="22"/>
          <w:szCs w:val="22"/>
        </w:rPr>
        <w:t xml:space="preserve">You will report to the </w:t>
      </w:r>
      <w:r w:rsidR="000D5693">
        <w:rPr>
          <w:rFonts w:cs="Arial"/>
          <w:color w:val="000000"/>
          <w:sz w:val="22"/>
          <w:szCs w:val="22"/>
        </w:rPr>
        <w:t>Housing Litigation Manager</w:t>
      </w:r>
      <w:r w:rsidR="00DD0FFD">
        <w:rPr>
          <w:rFonts w:cs="Arial"/>
          <w:color w:val="000000"/>
          <w:sz w:val="22"/>
          <w:szCs w:val="22"/>
        </w:rPr>
        <w:t xml:space="preserve">.  </w:t>
      </w:r>
    </w:p>
    <w:p w14:paraId="295F0CE5" w14:textId="3E7E76B2" w:rsidR="00E57FE8" w:rsidRDefault="00E57FE8" w:rsidP="00407075">
      <w:pPr>
        <w:jc w:val="both"/>
        <w:rPr>
          <w:rFonts w:cs="Arial"/>
          <w:sz w:val="22"/>
          <w:szCs w:val="22"/>
        </w:rPr>
      </w:pPr>
    </w:p>
    <w:p w14:paraId="32403734" w14:textId="58EA8952" w:rsidR="00097D7A" w:rsidRDefault="00E57FE8" w:rsidP="00097D7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 will </w:t>
      </w:r>
      <w:r w:rsidR="0044430C">
        <w:rPr>
          <w:rFonts w:cs="Arial"/>
          <w:sz w:val="22"/>
          <w:szCs w:val="22"/>
        </w:rPr>
        <w:t xml:space="preserve">work closely with </w:t>
      </w:r>
      <w:proofErr w:type="spellStart"/>
      <w:r w:rsidR="0044430C">
        <w:rPr>
          <w:rFonts w:cs="Arial"/>
          <w:sz w:val="22"/>
          <w:szCs w:val="22"/>
        </w:rPr>
        <w:t>whg’s</w:t>
      </w:r>
      <w:proofErr w:type="spellEnd"/>
      <w:r w:rsidR="0044430C">
        <w:rPr>
          <w:rFonts w:cs="Arial"/>
          <w:sz w:val="22"/>
          <w:szCs w:val="22"/>
        </w:rPr>
        <w:t xml:space="preserve"> Insurance and Claims Team, taking instruction from them in relation to housing disrepair and statutory nuisance claims brought against </w:t>
      </w:r>
      <w:proofErr w:type="spellStart"/>
      <w:r w:rsidR="0044430C">
        <w:rPr>
          <w:rFonts w:cs="Arial"/>
          <w:sz w:val="22"/>
          <w:szCs w:val="22"/>
        </w:rPr>
        <w:t>whg</w:t>
      </w:r>
      <w:proofErr w:type="spellEnd"/>
      <w:r w:rsidR="0044430C">
        <w:rPr>
          <w:rFonts w:cs="Arial"/>
          <w:sz w:val="22"/>
          <w:szCs w:val="22"/>
        </w:rPr>
        <w:t xml:space="preserve">, where the action has progressed to court.  </w:t>
      </w:r>
      <w:r w:rsidR="00F84551" w:rsidRPr="004F2657">
        <w:rPr>
          <w:rFonts w:cs="Arial"/>
          <w:sz w:val="22"/>
          <w:szCs w:val="22"/>
        </w:rPr>
        <w:t>You are required to support and engage with differen</w:t>
      </w:r>
      <w:r w:rsidR="00B62A92" w:rsidRPr="004F2657">
        <w:rPr>
          <w:rFonts w:cs="Arial"/>
          <w:sz w:val="22"/>
          <w:szCs w:val="22"/>
        </w:rPr>
        <w:t>t parts of the organisation</w:t>
      </w:r>
      <w:r w:rsidR="00F84551" w:rsidRPr="004F2657">
        <w:rPr>
          <w:rFonts w:cs="Arial"/>
          <w:sz w:val="22"/>
          <w:szCs w:val="22"/>
        </w:rPr>
        <w:t>, working across teams and at various levels</w:t>
      </w:r>
      <w:r w:rsidR="00DD0FFD">
        <w:rPr>
          <w:rFonts w:cs="Arial"/>
          <w:sz w:val="22"/>
          <w:szCs w:val="22"/>
        </w:rPr>
        <w:t>. You will m</w:t>
      </w:r>
      <w:r w:rsidR="00097D7A" w:rsidRPr="00387290">
        <w:rPr>
          <w:rFonts w:cs="Arial"/>
          <w:sz w:val="22"/>
          <w:szCs w:val="22"/>
        </w:rPr>
        <w:t xml:space="preserve">aintain and develop internal working relationships to ensure that any legal matters involving </w:t>
      </w:r>
      <w:proofErr w:type="spellStart"/>
      <w:r w:rsidR="00097D7A" w:rsidRPr="00387290">
        <w:rPr>
          <w:rFonts w:cs="Arial"/>
          <w:sz w:val="22"/>
          <w:szCs w:val="22"/>
        </w:rPr>
        <w:t>whg</w:t>
      </w:r>
      <w:proofErr w:type="spellEnd"/>
      <w:r w:rsidR="00097D7A" w:rsidRPr="00387290">
        <w:rPr>
          <w:rFonts w:cs="Arial"/>
          <w:sz w:val="22"/>
          <w:szCs w:val="22"/>
        </w:rPr>
        <w:t xml:space="preserve"> are dealt with efficiently and effectively.</w:t>
      </w:r>
    </w:p>
    <w:p w14:paraId="06BE5383" w14:textId="77777777" w:rsidR="004F2657" w:rsidRPr="004F2657" w:rsidRDefault="004F2657" w:rsidP="00CB7772">
      <w:pPr>
        <w:jc w:val="both"/>
        <w:rPr>
          <w:rFonts w:cs="Arial"/>
          <w:sz w:val="22"/>
          <w:szCs w:val="22"/>
        </w:rPr>
      </w:pPr>
    </w:p>
    <w:p w14:paraId="4E968B93" w14:textId="1502A2A3" w:rsidR="004E1CCC" w:rsidRDefault="004F2657" w:rsidP="00CB7772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 xml:space="preserve">You are also required to work with external stakeholders </w:t>
      </w:r>
      <w:r w:rsidR="005F4CF7">
        <w:rPr>
          <w:rFonts w:cs="Arial"/>
          <w:sz w:val="22"/>
          <w:szCs w:val="22"/>
        </w:rPr>
        <w:t xml:space="preserve">and organisations </w:t>
      </w:r>
      <w:r w:rsidRPr="004F2657">
        <w:rPr>
          <w:rFonts w:cs="Arial"/>
          <w:sz w:val="22"/>
          <w:szCs w:val="22"/>
        </w:rPr>
        <w:t xml:space="preserve">such as </w:t>
      </w:r>
      <w:r w:rsidR="00DD0FFD" w:rsidRPr="00387290">
        <w:rPr>
          <w:rFonts w:cs="Arial"/>
          <w:sz w:val="22"/>
          <w:szCs w:val="22"/>
        </w:rPr>
        <w:t xml:space="preserve">the Courts, </w:t>
      </w:r>
      <w:r w:rsidR="00DD0FFD">
        <w:rPr>
          <w:rFonts w:cs="Arial"/>
          <w:sz w:val="22"/>
          <w:szCs w:val="22"/>
        </w:rPr>
        <w:t>external lawyers (including Claimants’ and Defendants’ representatives)</w:t>
      </w:r>
      <w:r w:rsidR="00DD0FFD" w:rsidRPr="00387290">
        <w:rPr>
          <w:rFonts w:cs="Arial"/>
          <w:sz w:val="22"/>
          <w:szCs w:val="22"/>
        </w:rPr>
        <w:t xml:space="preserve"> and support agencies. </w:t>
      </w:r>
    </w:p>
    <w:p w14:paraId="00756F15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4332297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</w:p>
    <w:p w14:paraId="28C2C9E8" w14:textId="77777777" w:rsidR="0077565E" w:rsidRPr="004E1CCC" w:rsidRDefault="004F0AD9" w:rsidP="00CB7772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53C8A076" w14:textId="77777777" w:rsidR="006001A3" w:rsidRDefault="006001A3" w:rsidP="00CB7772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2C0A286" w14:textId="3BA6796E" w:rsidR="00983467" w:rsidRDefault="00983467" w:rsidP="00CB7772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 xml:space="preserve">effectively as </w:t>
      </w:r>
      <w:r w:rsidR="0044430C">
        <w:rPr>
          <w:rFonts w:cs="Arial"/>
          <w:sz w:val="22"/>
          <w:szCs w:val="22"/>
        </w:rPr>
        <w:t xml:space="preserve">a </w:t>
      </w:r>
      <w:r w:rsidR="00B304F4">
        <w:rPr>
          <w:rFonts w:cs="Arial"/>
          <w:sz w:val="22"/>
          <w:szCs w:val="22"/>
        </w:rPr>
        <w:t xml:space="preserve">Housing </w:t>
      </w:r>
      <w:r w:rsidR="0044430C">
        <w:rPr>
          <w:rFonts w:cs="Arial"/>
          <w:sz w:val="22"/>
          <w:szCs w:val="22"/>
        </w:rPr>
        <w:t>Solicitor</w:t>
      </w:r>
      <w:r w:rsidRPr="00983467">
        <w:rPr>
          <w:rFonts w:cs="Arial"/>
          <w:sz w:val="22"/>
          <w:szCs w:val="22"/>
        </w:rPr>
        <w:t>:</w:t>
      </w:r>
    </w:p>
    <w:p w14:paraId="5948340C" w14:textId="4201A805" w:rsidR="00D81D4A" w:rsidRDefault="00D81D4A" w:rsidP="00CB7772">
      <w:pPr>
        <w:jc w:val="both"/>
        <w:rPr>
          <w:rFonts w:cs="Arial"/>
          <w:sz w:val="22"/>
          <w:szCs w:val="22"/>
        </w:rPr>
      </w:pPr>
    </w:p>
    <w:p w14:paraId="66B3E563" w14:textId="60F9ACE2" w:rsidR="002C1572" w:rsidRDefault="002C1572" w:rsidP="002C1572">
      <w:pPr>
        <w:jc w:val="both"/>
        <w:rPr>
          <w:rFonts w:cs="Arial"/>
          <w:sz w:val="22"/>
          <w:szCs w:val="22"/>
        </w:rPr>
      </w:pPr>
      <w:bookmarkStart w:id="1" w:name="_Hlk146892352"/>
      <w:bookmarkStart w:id="2" w:name="_Hlk189049034"/>
      <w:r w:rsidRPr="00C6666F">
        <w:rPr>
          <w:rFonts w:cs="Arial"/>
          <w:sz w:val="22"/>
          <w:szCs w:val="22"/>
        </w:rPr>
        <w:t>A law degree or other relevant professional qualification.</w:t>
      </w:r>
    </w:p>
    <w:bookmarkEnd w:id="1"/>
    <w:p w14:paraId="62835F08" w14:textId="77777777" w:rsidR="002C1572" w:rsidRPr="00C6666F" w:rsidRDefault="002C1572" w:rsidP="002C1572">
      <w:pPr>
        <w:jc w:val="both"/>
        <w:rPr>
          <w:rFonts w:cs="Arial"/>
          <w:sz w:val="22"/>
          <w:szCs w:val="22"/>
        </w:rPr>
      </w:pPr>
    </w:p>
    <w:p w14:paraId="1DC030CA" w14:textId="62E334B2" w:rsidR="00EB4710" w:rsidRDefault="00EB4710" w:rsidP="00EB4710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Qualified Solicitor or</w:t>
      </w:r>
      <w:r w:rsidR="002A32C9" w:rsidRPr="002A32C9">
        <w:rPr>
          <w:b/>
          <w:bCs/>
          <w:sz w:val="22"/>
          <w:szCs w:val="22"/>
        </w:rPr>
        <w:t> </w:t>
      </w:r>
      <w:r w:rsidR="002A32C9" w:rsidRPr="002A32C9">
        <w:rPr>
          <w:sz w:val="22"/>
          <w:szCs w:val="22"/>
        </w:rPr>
        <w:t>FCILEX</w:t>
      </w:r>
      <w:r w:rsidR="002A32C9">
        <w:rPr>
          <w:sz w:val="22"/>
          <w:szCs w:val="22"/>
        </w:rPr>
        <w:t xml:space="preserve"> </w:t>
      </w:r>
      <w:r w:rsidR="00394B4A">
        <w:rPr>
          <w:sz w:val="22"/>
          <w:szCs w:val="22"/>
        </w:rPr>
        <w:t>with between 1-3 years</w:t>
      </w:r>
      <w:r>
        <w:rPr>
          <w:sz w:val="22"/>
          <w:szCs w:val="22"/>
        </w:rPr>
        <w:t xml:space="preserve"> PQE</w:t>
      </w:r>
      <w:r w:rsidR="00DF5F08">
        <w:rPr>
          <w:sz w:val="22"/>
          <w:szCs w:val="22"/>
        </w:rPr>
        <w:t xml:space="preserve">, </w:t>
      </w:r>
      <w:r w:rsidR="00DF5F08">
        <w:rPr>
          <w:rFonts w:cs="Arial"/>
          <w:sz w:val="22"/>
          <w:szCs w:val="22"/>
        </w:rPr>
        <w:t>with</w:t>
      </w:r>
      <w:r w:rsidR="00DF5F08" w:rsidRPr="00C6666F">
        <w:rPr>
          <w:rFonts w:cs="Arial"/>
          <w:sz w:val="22"/>
          <w:szCs w:val="22"/>
        </w:rPr>
        <w:t xml:space="preserve"> experience </w:t>
      </w:r>
      <w:r w:rsidR="00DF5F08">
        <w:rPr>
          <w:rFonts w:cs="Arial"/>
          <w:sz w:val="22"/>
          <w:szCs w:val="22"/>
        </w:rPr>
        <w:t>of</w:t>
      </w:r>
      <w:r w:rsidR="00DF5F08" w:rsidRPr="00C6666F">
        <w:rPr>
          <w:rFonts w:cs="Arial"/>
          <w:sz w:val="22"/>
          <w:szCs w:val="22"/>
        </w:rPr>
        <w:t xml:space="preserve"> </w:t>
      </w:r>
      <w:r w:rsidR="00DF5F08">
        <w:rPr>
          <w:rFonts w:cs="Arial"/>
          <w:sz w:val="22"/>
          <w:szCs w:val="22"/>
        </w:rPr>
        <w:t xml:space="preserve">legal case management </w:t>
      </w:r>
      <w:r w:rsidR="005E2796">
        <w:rPr>
          <w:rFonts w:cs="Arial"/>
          <w:sz w:val="22"/>
          <w:szCs w:val="22"/>
        </w:rPr>
        <w:t xml:space="preserve">relating to </w:t>
      </w:r>
      <w:r w:rsidR="005E2796" w:rsidRPr="00C6666F">
        <w:rPr>
          <w:rFonts w:cs="Arial"/>
          <w:sz w:val="22"/>
          <w:szCs w:val="22"/>
        </w:rPr>
        <w:t xml:space="preserve">housing condition claims, </w:t>
      </w:r>
      <w:r w:rsidR="00DF5F08">
        <w:rPr>
          <w:rFonts w:cs="Arial"/>
          <w:sz w:val="22"/>
          <w:szCs w:val="22"/>
        </w:rPr>
        <w:t>including drafting court applications, defences, witness statements</w:t>
      </w:r>
      <w:r w:rsidR="005E2796">
        <w:rPr>
          <w:rFonts w:cs="Arial"/>
          <w:sz w:val="22"/>
          <w:szCs w:val="22"/>
        </w:rPr>
        <w:t>,</w:t>
      </w:r>
      <w:r w:rsidR="00DF5F08">
        <w:rPr>
          <w:rFonts w:cs="Arial"/>
          <w:sz w:val="22"/>
          <w:szCs w:val="22"/>
        </w:rPr>
        <w:t xml:space="preserve"> </w:t>
      </w:r>
      <w:r w:rsidR="00DF5F08" w:rsidRPr="00C6666F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with </w:t>
      </w:r>
      <w:r w:rsidR="00DF5F08" w:rsidRPr="00C6666F">
        <w:rPr>
          <w:rFonts w:cs="Arial"/>
          <w:sz w:val="22"/>
          <w:szCs w:val="22"/>
        </w:rPr>
        <w:t xml:space="preserve">knowledge of the </w:t>
      </w:r>
      <w:r w:rsidR="00DF5F08">
        <w:rPr>
          <w:rFonts w:cs="Arial"/>
          <w:sz w:val="22"/>
          <w:szCs w:val="22"/>
        </w:rPr>
        <w:t xml:space="preserve">associated </w:t>
      </w:r>
      <w:r w:rsidR="00DF5F08" w:rsidRPr="00C6666F">
        <w:rPr>
          <w:rFonts w:cs="Arial"/>
          <w:sz w:val="22"/>
          <w:szCs w:val="22"/>
        </w:rPr>
        <w:t xml:space="preserve">Civil Procedure Rules </w:t>
      </w:r>
      <w:r w:rsidR="00DF5F08">
        <w:rPr>
          <w:rFonts w:cs="Arial"/>
          <w:sz w:val="22"/>
          <w:szCs w:val="22"/>
        </w:rPr>
        <w:t xml:space="preserve">and Pre-Action Protocols. </w:t>
      </w:r>
      <w:r w:rsidRPr="00C6666F">
        <w:rPr>
          <w:rFonts w:cs="Arial"/>
          <w:sz w:val="22"/>
          <w:szCs w:val="22"/>
        </w:rPr>
        <w:t>Experience of attending</w:t>
      </w:r>
      <w:r>
        <w:rPr>
          <w:rFonts w:cs="Arial"/>
          <w:sz w:val="22"/>
          <w:szCs w:val="22"/>
        </w:rPr>
        <w:t xml:space="preserve">, </w:t>
      </w:r>
      <w:r w:rsidRPr="00C6666F">
        <w:rPr>
          <w:rFonts w:cs="Arial"/>
          <w:sz w:val="22"/>
          <w:szCs w:val="22"/>
        </w:rPr>
        <w:t xml:space="preserve">presenting </w:t>
      </w:r>
      <w:r>
        <w:rPr>
          <w:rFonts w:cs="Arial"/>
          <w:sz w:val="22"/>
          <w:szCs w:val="22"/>
        </w:rPr>
        <w:t>and advocacy in County C</w:t>
      </w:r>
      <w:r w:rsidRPr="00C6666F">
        <w:rPr>
          <w:rFonts w:cs="Arial"/>
          <w:sz w:val="22"/>
          <w:szCs w:val="22"/>
        </w:rPr>
        <w:t>ourt hearings.</w:t>
      </w:r>
      <w:r w:rsidR="00506EF6">
        <w:rPr>
          <w:rFonts w:cs="Arial"/>
          <w:sz w:val="22"/>
          <w:szCs w:val="22"/>
        </w:rPr>
        <w:t xml:space="preserve">  A keen interest in social housing law </w:t>
      </w:r>
      <w:r w:rsidR="008406C9">
        <w:rPr>
          <w:rFonts w:cs="Arial"/>
          <w:sz w:val="22"/>
          <w:szCs w:val="22"/>
        </w:rPr>
        <w:t>would be advantageous.</w:t>
      </w:r>
    </w:p>
    <w:p w14:paraId="78BA3A4A" w14:textId="1B5B33F4" w:rsidR="00C85882" w:rsidRDefault="00C85882" w:rsidP="00EB4710">
      <w:pPr>
        <w:jc w:val="both"/>
        <w:rPr>
          <w:rFonts w:cs="Arial"/>
          <w:sz w:val="22"/>
          <w:szCs w:val="22"/>
        </w:rPr>
      </w:pPr>
    </w:p>
    <w:p w14:paraId="14E4CFEA" w14:textId="41820D82" w:rsidR="00C85882" w:rsidRPr="00C6666F" w:rsidRDefault="00C85882" w:rsidP="00EB471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Experience of legal case management relating to a broader range of housing matters</w:t>
      </w:r>
      <w:r w:rsidR="002C1572">
        <w:rPr>
          <w:rFonts w:cs="Arial"/>
          <w:sz w:val="22"/>
          <w:szCs w:val="22"/>
        </w:rPr>
        <w:t xml:space="preserve">, e.g. tenancy breaches including </w:t>
      </w:r>
      <w:r w:rsidR="00604EE1">
        <w:rPr>
          <w:rFonts w:cs="Arial"/>
          <w:sz w:val="22"/>
          <w:szCs w:val="22"/>
        </w:rPr>
        <w:t>anti-social</w:t>
      </w:r>
      <w:r w:rsidR="002C1572">
        <w:rPr>
          <w:rFonts w:cs="Arial"/>
          <w:sz w:val="22"/>
          <w:szCs w:val="22"/>
        </w:rPr>
        <w:t xml:space="preserve"> behaviour,</w:t>
      </w:r>
      <w:r>
        <w:rPr>
          <w:rFonts w:cs="Arial"/>
          <w:sz w:val="22"/>
          <w:szCs w:val="22"/>
        </w:rPr>
        <w:t xml:space="preserve"> would be advantageous.  </w:t>
      </w:r>
    </w:p>
    <w:p w14:paraId="2C1629D3" w14:textId="77777777" w:rsidR="005E01BF" w:rsidRDefault="005E01BF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A3EAD70" w14:textId="0EF70FAA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Ability to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work flexibly and to</w:t>
      </w:r>
      <w:r w:rsidR="002E1F74">
        <w:rPr>
          <w:rFonts w:eastAsia="Times New Roman" w:cs="Times New Roman"/>
          <w:color w:val="auto"/>
          <w:sz w:val="22"/>
          <w:szCs w:val="22"/>
          <w:lang w:eastAsia="en-US"/>
        </w:rPr>
        <w:t xml:space="preserve"> assist in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manag</w:t>
      </w:r>
      <w:r w:rsidR="002E1F74">
        <w:rPr>
          <w:rFonts w:eastAsia="Times New Roman" w:cs="Times New Roman"/>
          <w:color w:val="auto"/>
          <w:sz w:val="22"/>
          <w:szCs w:val="22"/>
          <w:lang w:eastAsia="en-US"/>
        </w:rPr>
        <w:t>ing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and prioritis</w:t>
      </w:r>
      <w:r w:rsidR="002E1F74">
        <w:rPr>
          <w:rFonts w:eastAsia="Times New Roman" w:cs="Times New Roman"/>
          <w:color w:val="auto"/>
          <w:sz w:val="22"/>
          <w:szCs w:val="22"/>
          <w:lang w:eastAsia="en-US"/>
        </w:rPr>
        <w:t>ing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a complex, high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profile and demanding workload within a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fast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-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paced </w:t>
      </w:r>
      <w:bookmarkStart w:id="3" w:name="_Hlk189049053"/>
      <w:bookmarkEnd w:id="2"/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lastRenderedPageBreak/>
        <w:t xml:space="preserve">team environment. Discretion, good judgement and the ability to handle sensitive issues skilfully and confidentially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is vital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0DCFF2D0" w14:textId="7DA2C8A9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48423769" w14:textId="132E4B31" w:rsidR="005E2796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Excellent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verbal and written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communication and negotiation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skills</w:t>
      </w:r>
      <w:r w:rsidR="005E01BF" w:rsidRPr="00992AD7">
        <w:rPr>
          <w:sz w:val="22"/>
          <w:szCs w:val="22"/>
          <w:lang w:eastAsia="en-US"/>
        </w:rPr>
        <w:t xml:space="preserve">, including the ability to produce reports </w:t>
      </w:r>
      <w:r w:rsidR="005E01BF" w:rsidRPr="00D56C8B">
        <w:rPr>
          <w:sz w:val="22"/>
          <w:szCs w:val="22"/>
          <w:lang w:eastAsia="en-US"/>
        </w:rPr>
        <w:t>and deliver presentations and training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BC65AC" w:rsidRPr="005E01BF">
        <w:rPr>
          <w:rFonts w:eastAsia="Times New Roman" w:cs="Times New Roman"/>
          <w:color w:val="auto"/>
          <w:sz w:val="22"/>
          <w:szCs w:val="22"/>
          <w:lang w:eastAsia="en-US"/>
        </w:rPr>
        <w:t>Ability to interpret legislation, regulation and policy documents</w:t>
      </w:r>
      <w:r w:rsidR="00CB7772"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251D4D23" w14:textId="77777777" w:rsidR="008406C9" w:rsidRDefault="008406C9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2672CC15" w14:textId="1ABA73A6" w:rsidR="008406C9" w:rsidRPr="005E01BF" w:rsidRDefault="008406C9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>
        <w:rPr>
          <w:rFonts w:eastAsia="Times New Roman" w:cs="Times New Roman"/>
          <w:color w:val="auto"/>
          <w:sz w:val="22"/>
          <w:szCs w:val="22"/>
          <w:lang w:eastAsia="en-US"/>
        </w:rPr>
        <w:t>Experience with computerised case management systems would be preferable.</w:t>
      </w:r>
    </w:p>
    <w:bookmarkEnd w:id="3"/>
    <w:p w14:paraId="42A6EECA" w14:textId="77777777" w:rsidR="00983467" w:rsidRPr="00983467" w:rsidRDefault="00983467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9239958" w14:textId="77777777" w:rsidR="004F2657" w:rsidRDefault="004F2657" w:rsidP="00CB777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1170A4FE" w14:textId="77777777" w:rsidR="00886C44" w:rsidRPr="00ED347F" w:rsidRDefault="00886C44" w:rsidP="00886C44">
      <w:pPr>
        <w:spacing w:line="216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ED347F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ED347F">
        <w:rPr>
          <w:rFonts w:cs="Arial"/>
          <w:b/>
          <w:color w:val="002060"/>
          <w:sz w:val="24"/>
          <w:szCs w:val="24"/>
        </w:rPr>
        <w:t xml:space="preserve"> values and behaviours </w:t>
      </w:r>
    </w:p>
    <w:p w14:paraId="297671FA" w14:textId="77777777" w:rsidR="00886C44" w:rsidRPr="00ED347F" w:rsidRDefault="00886C44" w:rsidP="00886C44">
      <w:pPr>
        <w:spacing w:line="216" w:lineRule="auto"/>
        <w:jc w:val="both"/>
        <w:rPr>
          <w:rFonts w:cs="Arial"/>
          <w:color w:val="000000"/>
          <w:sz w:val="24"/>
          <w:szCs w:val="24"/>
        </w:rPr>
      </w:pPr>
    </w:p>
    <w:p w14:paraId="3FFF4528" w14:textId="77777777" w:rsidR="00886C44" w:rsidRDefault="00886C44" w:rsidP="00886C44">
      <w:pPr>
        <w:jc w:val="both"/>
        <w:rPr>
          <w:rFonts w:cs="Arial"/>
          <w:sz w:val="22"/>
          <w:szCs w:val="22"/>
        </w:rPr>
      </w:pPr>
      <w:r w:rsidRPr="00EB1076">
        <w:rPr>
          <w:rFonts w:cs="Arial"/>
          <w:sz w:val="22"/>
          <w:szCs w:val="22"/>
        </w:rPr>
        <w:t xml:space="preserve">At </w:t>
      </w:r>
      <w:proofErr w:type="spellStart"/>
      <w:r w:rsidRPr="00EB1076">
        <w:rPr>
          <w:rFonts w:cs="Arial"/>
          <w:sz w:val="22"/>
          <w:szCs w:val="22"/>
        </w:rPr>
        <w:t>whg</w:t>
      </w:r>
      <w:proofErr w:type="spellEnd"/>
      <w:r w:rsidRPr="00EB1076">
        <w:rPr>
          <w:rFonts w:cs="Arial"/>
          <w:sz w:val="22"/>
          <w:szCs w:val="22"/>
        </w:rPr>
        <w:t xml:space="preserve"> we have an ambitious aim to be an exceptional place to work that attracts, develops and retains talent. </w:t>
      </w:r>
    </w:p>
    <w:p w14:paraId="3F0CF85B" w14:textId="77777777" w:rsidR="00886C44" w:rsidRPr="00EB1076" w:rsidRDefault="00886C44" w:rsidP="00886C44">
      <w:pPr>
        <w:jc w:val="both"/>
        <w:rPr>
          <w:rFonts w:cs="Arial"/>
          <w:sz w:val="22"/>
          <w:szCs w:val="22"/>
        </w:rPr>
      </w:pPr>
    </w:p>
    <w:p w14:paraId="6FA09951" w14:textId="77777777" w:rsidR="00886C44" w:rsidRDefault="00886C44" w:rsidP="00886C44">
      <w:pPr>
        <w:jc w:val="both"/>
        <w:rPr>
          <w:rFonts w:cs="Arial"/>
          <w:sz w:val="22"/>
          <w:szCs w:val="22"/>
        </w:rPr>
      </w:pPr>
      <w:r w:rsidRPr="00EB1076">
        <w:rPr>
          <w:rFonts w:cs="Arial"/>
          <w:sz w:val="22"/>
          <w:szCs w:val="22"/>
        </w:rPr>
        <w:t xml:space="preserve">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EB1076">
        <w:rPr>
          <w:rFonts w:cs="Arial"/>
          <w:sz w:val="22"/>
          <w:szCs w:val="22"/>
        </w:rPr>
        <w:t>whg</w:t>
      </w:r>
      <w:proofErr w:type="spellEnd"/>
      <w:r w:rsidRPr="00EB1076">
        <w:rPr>
          <w:rFonts w:cs="Arial"/>
          <w:sz w:val="22"/>
          <w:szCs w:val="22"/>
        </w:rPr>
        <w:t xml:space="preserve">. </w:t>
      </w:r>
    </w:p>
    <w:p w14:paraId="7F26A598" w14:textId="77777777" w:rsidR="00886C44" w:rsidRPr="00EB1076" w:rsidRDefault="00886C44" w:rsidP="00886C44">
      <w:pPr>
        <w:jc w:val="both"/>
        <w:rPr>
          <w:rFonts w:cs="Arial"/>
          <w:sz w:val="22"/>
          <w:szCs w:val="22"/>
        </w:rPr>
      </w:pPr>
    </w:p>
    <w:p w14:paraId="08ABAB16" w14:textId="77777777" w:rsidR="00886C44" w:rsidRPr="00EB1076" w:rsidRDefault="00886C44" w:rsidP="00886C44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886C44" w:rsidRPr="00EB1076" w14:paraId="74B632E1" w14:textId="77777777" w:rsidTr="00916EC6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CCF3000" w14:textId="77777777" w:rsidR="00886C44" w:rsidRPr="00EB1076" w:rsidRDefault="00886C44" w:rsidP="00916EC6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18D9B8" wp14:editId="454F41B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656653189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3715500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5DD6DB82" w14:textId="77777777" w:rsidR="00886C44" w:rsidRPr="00EB1076" w:rsidRDefault="00886C44" w:rsidP="00916EC6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16AFE378" w14:textId="77777777" w:rsidR="00886C44" w:rsidRPr="00EB1076" w:rsidRDefault="00886C44" w:rsidP="00916EC6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886C44" w:rsidRPr="004408DC" w14:paraId="7FC96CDF" w14:textId="77777777" w:rsidTr="00916EC6">
        <w:trPr>
          <w:jc w:val="center"/>
        </w:trPr>
        <w:tc>
          <w:tcPr>
            <w:tcW w:w="1838" w:type="dxa"/>
            <w:shd w:val="clear" w:color="auto" w:fill="auto"/>
          </w:tcPr>
          <w:p w14:paraId="0CCADC1A" w14:textId="77777777" w:rsidR="00886C44" w:rsidRDefault="00886C44" w:rsidP="00916EC6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E0E76A" wp14:editId="466FAD1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541654163" name="Picture 4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D6A7662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584C7C7F" w14:textId="77777777" w:rsidR="00886C44" w:rsidRPr="00EB1076" w:rsidRDefault="00886C44" w:rsidP="00916EC6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0950E763" w14:textId="77777777" w:rsidR="00886C44" w:rsidRPr="004408DC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886C44" w:rsidRPr="00EB1076" w14:paraId="536AF208" w14:textId="77777777" w:rsidTr="00916EC6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D6291C8" w14:textId="77777777" w:rsidR="00886C44" w:rsidRPr="00EB1076" w:rsidRDefault="00886C44" w:rsidP="00916EC6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DDBB27" wp14:editId="0D1B2CB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92914013" name="Picture 3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97F9FB6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301F0546" w14:textId="77777777" w:rsidR="00886C44" w:rsidRPr="00EB1076" w:rsidRDefault="00886C44" w:rsidP="00916EC6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311A2785" w14:textId="77777777" w:rsidR="00886C44" w:rsidRPr="00EB1076" w:rsidRDefault="00886C44" w:rsidP="00916EC6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86C44" w:rsidRPr="00EB1076" w14:paraId="180D4BD2" w14:textId="77777777" w:rsidTr="00916EC6">
        <w:trPr>
          <w:jc w:val="center"/>
        </w:trPr>
        <w:tc>
          <w:tcPr>
            <w:tcW w:w="1838" w:type="dxa"/>
            <w:shd w:val="clear" w:color="auto" w:fill="auto"/>
          </w:tcPr>
          <w:p w14:paraId="48D3F925" w14:textId="77777777" w:rsidR="00886C44" w:rsidRDefault="00886C44" w:rsidP="00916EC6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034B90" wp14:editId="6CF84FD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356373464" name="Picture 2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709CAED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DBA8858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  <w:tr w:rsidR="00886C44" w:rsidRPr="00EB1076" w14:paraId="48D455D7" w14:textId="77777777" w:rsidTr="00916EC6">
        <w:trPr>
          <w:jc w:val="center"/>
        </w:trPr>
        <w:tc>
          <w:tcPr>
            <w:tcW w:w="1838" w:type="dxa"/>
            <w:shd w:val="clear" w:color="auto" w:fill="auto"/>
          </w:tcPr>
          <w:p w14:paraId="51228570" w14:textId="77777777" w:rsidR="00886C44" w:rsidRDefault="00886C44" w:rsidP="00916EC6">
            <w:pPr>
              <w:widowControl w:val="0"/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46604D6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886C44" w:rsidRPr="00EB1076" w14:paraId="4881E41C" w14:textId="77777777" w:rsidTr="00916EC6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4EDF99E" w14:textId="77777777" w:rsidR="00886C44" w:rsidRPr="00EB1076" w:rsidRDefault="00886C44" w:rsidP="00916EC6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41C74B" wp14:editId="76D538F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290368175" name="Picture 1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88DD414" w14:textId="77777777" w:rsidR="00886C44" w:rsidRPr="00EB1076" w:rsidRDefault="00886C44" w:rsidP="00916EC6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440DC727" w14:textId="77777777" w:rsidR="00886C44" w:rsidRPr="00EB1076" w:rsidRDefault="00886C44" w:rsidP="00916EC6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5F9DEC5F" w14:textId="77777777" w:rsidR="00886C44" w:rsidRPr="00EB1076" w:rsidRDefault="00886C44" w:rsidP="00916EC6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978B9C" w14:textId="77777777" w:rsidR="00431502" w:rsidRDefault="00431502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sectPr w:rsidR="00431502" w:rsidSect="00183F35">
      <w:headerReference w:type="default" r:id="rId13"/>
      <w:footerReference w:type="default" r:id="rId14"/>
      <w:pgSz w:w="16838" w:h="11906" w:orient="landscape"/>
      <w:pgMar w:top="1440" w:right="1387" w:bottom="1276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9730" w14:textId="77777777" w:rsidR="00022A3E" w:rsidRDefault="00022A3E" w:rsidP="00570D4A">
      <w:r>
        <w:separator/>
      </w:r>
    </w:p>
  </w:endnote>
  <w:endnote w:type="continuationSeparator" w:id="0">
    <w:p w14:paraId="3910330F" w14:textId="77777777" w:rsidR="00022A3E" w:rsidRDefault="00022A3E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288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40EFC44B" w14:textId="77777777" w:rsidR="00570D4A" w:rsidRDefault="00570D4A">
    <w:pPr>
      <w:pStyle w:val="Footer"/>
    </w:pPr>
  </w:p>
  <w:p w14:paraId="494A57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BD68" w14:textId="77777777" w:rsidR="00022A3E" w:rsidRDefault="00022A3E" w:rsidP="00570D4A">
      <w:r>
        <w:separator/>
      </w:r>
    </w:p>
  </w:footnote>
  <w:footnote w:type="continuationSeparator" w:id="0">
    <w:p w14:paraId="5DACEC6F" w14:textId="77777777" w:rsidR="00022A3E" w:rsidRDefault="00022A3E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735" w14:textId="0FED6CC0" w:rsidR="00686D62" w:rsidRDefault="00E7428B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Housing</w:t>
    </w:r>
    <w:r w:rsidR="00886C44">
      <w:rPr>
        <w:rFonts w:cs="Arial"/>
        <w:b/>
        <w:noProof/>
        <w:color w:val="002060"/>
        <w:sz w:val="32"/>
        <w:szCs w:val="32"/>
      </w:rPr>
      <w:t xml:space="preserve"> Solicitor</w:t>
    </w:r>
    <w:r w:rsidR="00D74210">
      <w:rPr>
        <w:rFonts w:cs="Arial"/>
        <w:b/>
        <w:noProof/>
        <w:color w:val="002060"/>
        <w:sz w:val="32"/>
        <w:szCs w:val="32"/>
      </w:rPr>
      <w:tab/>
    </w:r>
    <w:r w:rsidR="00D74210">
      <w:rPr>
        <w:rFonts w:cs="Arial"/>
        <w:b/>
        <w:noProof/>
        <w:color w:val="002060"/>
        <w:sz w:val="32"/>
        <w:szCs w:val="32"/>
      </w:rPr>
      <w:tab/>
    </w:r>
    <w:r w:rsidR="00D74210">
      <w:rPr>
        <w:rFonts w:cs="Arial"/>
        <w:b/>
        <w:noProof/>
        <w:color w:val="002060"/>
        <w:sz w:val="32"/>
        <w:szCs w:val="3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824C0A" w:rsidRPr="00EB3D5E">
      <w:rPr>
        <w:rFonts w:cs="Arial"/>
        <w:noProof/>
        <w:sz w:val="22"/>
        <w:szCs w:val="22"/>
      </w:rPr>
      <w:drawing>
        <wp:inline distT="0" distB="0" distL="0" distR="0" wp14:anchorId="263DD1BC" wp14:editId="1B876308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EDCFE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9B5"/>
    <w:multiLevelType w:val="hybridMultilevel"/>
    <w:tmpl w:val="5C4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D3057"/>
    <w:multiLevelType w:val="hybridMultilevel"/>
    <w:tmpl w:val="4C40A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1038700">
    <w:abstractNumId w:val="9"/>
  </w:num>
  <w:num w:numId="2" w16cid:durableId="241183595">
    <w:abstractNumId w:val="9"/>
  </w:num>
  <w:num w:numId="3" w16cid:durableId="54475258">
    <w:abstractNumId w:val="20"/>
  </w:num>
  <w:num w:numId="4" w16cid:durableId="657267610">
    <w:abstractNumId w:val="19"/>
  </w:num>
  <w:num w:numId="5" w16cid:durableId="1619793055">
    <w:abstractNumId w:val="16"/>
  </w:num>
  <w:num w:numId="6" w16cid:durableId="1505128189">
    <w:abstractNumId w:val="8"/>
  </w:num>
  <w:num w:numId="7" w16cid:durableId="1930193304">
    <w:abstractNumId w:val="17"/>
  </w:num>
  <w:num w:numId="8" w16cid:durableId="1486319884">
    <w:abstractNumId w:val="13"/>
  </w:num>
  <w:num w:numId="9" w16cid:durableId="1238859772">
    <w:abstractNumId w:val="11"/>
  </w:num>
  <w:num w:numId="10" w16cid:durableId="1010916412">
    <w:abstractNumId w:val="5"/>
  </w:num>
  <w:num w:numId="11" w16cid:durableId="18508222">
    <w:abstractNumId w:val="10"/>
  </w:num>
  <w:num w:numId="12" w16cid:durableId="427388334">
    <w:abstractNumId w:val="2"/>
  </w:num>
  <w:num w:numId="13" w16cid:durableId="1905599504">
    <w:abstractNumId w:val="14"/>
  </w:num>
  <w:num w:numId="14" w16cid:durableId="1909344273">
    <w:abstractNumId w:val="1"/>
  </w:num>
  <w:num w:numId="15" w16cid:durableId="541407392">
    <w:abstractNumId w:val="23"/>
  </w:num>
  <w:num w:numId="16" w16cid:durableId="1152989046">
    <w:abstractNumId w:val="4"/>
  </w:num>
  <w:num w:numId="17" w16cid:durableId="981695461">
    <w:abstractNumId w:val="18"/>
  </w:num>
  <w:num w:numId="18" w16cid:durableId="1946962672">
    <w:abstractNumId w:val="12"/>
  </w:num>
  <w:num w:numId="19" w16cid:durableId="940525559">
    <w:abstractNumId w:val="6"/>
  </w:num>
  <w:num w:numId="20" w16cid:durableId="1031032269">
    <w:abstractNumId w:val="7"/>
  </w:num>
  <w:num w:numId="21" w16cid:durableId="1934623418">
    <w:abstractNumId w:val="3"/>
  </w:num>
  <w:num w:numId="22" w16cid:durableId="1501893936">
    <w:abstractNumId w:val="15"/>
  </w:num>
  <w:num w:numId="23" w16cid:durableId="95830354">
    <w:abstractNumId w:val="21"/>
  </w:num>
  <w:num w:numId="24" w16cid:durableId="539561913">
    <w:abstractNumId w:val="0"/>
  </w:num>
  <w:num w:numId="25" w16cid:durableId="1806117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22CB"/>
    <w:rsid w:val="00002363"/>
    <w:rsid w:val="00022A3E"/>
    <w:rsid w:val="0003462B"/>
    <w:rsid w:val="00034926"/>
    <w:rsid w:val="00041051"/>
    <w:rsid w:val="00043116"/>
    <w:rsid w:val="00045BF0"/>
    <w:rsid w:val="000503EB"/>
    <w:rsid w:val="00050650"/>
    <w:rsid w:val="00075C24"/>
    <w:rsid w:val="00093AAE"/>
    <w:rsid w:val="00097D7A"/>
    <w:rsid w:val="000A5026"/>
    <w:rsid w:val="000A5DEC"/>
    <w:rsid w:val="000B307D"/>
    <w:rsid w:val="000C0993"/>
    <w:rsid w:val="000C281D"/>
    <w:rsid w:val="000D40B4"/>
    <w:rsid w:val="000D5693"/>
    <w:rsid w:val="000F613A"/>
    <w:rsid w:val="0011013D"/>
    <w:rsid w:val="00126DA6"/>
    <w:rsid w:val="00135602"/>
    <w:rsid w:val="0016037D"/>
    <w:rsid w:val="0016501D"/>
    <w:rsid w:val="00183F35"/>
    <w:rsid w:val="001A0396"/>
    <w:rsid w:val="001A2879"/>
    <w:rsid w:val="001A3DB3"/>
    <w:rsid w:val="001B4DB0"/>
    <w:rsid w:val="001B68A7"/>
    <w:rsid w:val="001C5D77"/>
    <w:rsid w:val="001F1C3C"/>
    <w:rsid w:val="00267C83"/>
    <w:rsid w:val="002A32C9"/>
    <w:rsid w:val="002C1572"/>
    <w:rsid w:val="002C75F8"/>
    <w:rsid w:val="002D22BC"/>
    <w:rsid w:val="002E1F74"/>
    <w:rsid w:val="002E7038"/>
    <w:rsid w:val="002E7967"/>
    <w:rsid w:val="002F1034"/>
    <w:rsid w:val="002F15AA"/>
    <w:rsid w:val="00314734"/>
    <w:rsid w:val="00333784"/>
    <w:rsid w:val="0034766C"/>
    <w:rsid w:val="00347C65"/>
    <w:rsid w:val="00360AFB"/>
    <w:rsid w:val="003655AD"/>
    <w:rsid w:val="0037519D"/>
    <w:rsid w:val="00394B4A"/>
    <w:rsid w:val="003A763E"/>
    <w:rsid w:val="003B6659"/>
    <w:rsid w:val="003B6851"/>
    <w:rsid w:val="003D783E"/>
    <w:rsid w:val="003F5E05"/>
    <w:rsid w:val="00407075"/>
    <w:rsid w:val="00412FE0"/>
    <w:rsid w:val="00431502"/>
    <w:rsid w:val="0043316C"/>
    <w:rsid w:val="00434818"/>
    <w:rsid w:val="0044430C"/>
    <w:rsid w:val="0044632B"/>
    <w:rsid w:val="0044657B"/>
    <w:rsid w:val="00453584"/>
    <w:rsid w:val="00492E1C"/>
    <w:rsid w:val="004A272E"/>
    <w:rsid w:val="004B3798"/>
    <w:rsid w:val="004B608E"/>
    <w:rsid w:val="004E1CCC"/>
    <w:rsid w:val="004F0AD9"/>
    <w:rsid w:val="004F2657"/>
    <w:rsid w:val="004F2F1B"/>
    <w:rsid w:val="004F36D5"/>
    <w:rsid w:val="00506EF6"/>
    <w:rsid w:val="00511463"/>
    <w:rsid w:val="00521C52"/>
    <w:rsid w:val="00532CD9"/>
    <w:rsid w:val="00543192"/>
    <w:rsid w:val="00543253"/>
    <w:rsid w:val="0055027A"/>
    <w:rsid w:val="00565F71"/>
    <w:rsid w:val="005679A5"/>
    <w:rsid w:val="00570D4A"/>
    <w:rsid w:val="00576C9A"/>
    <w:rsid w:val="005823D3"/>
    <w:rsid w:val="005837A3"/>
    <w:rsid w:val="00597256"/>
    <w:rsid w:val="005A1A68"/>
    <w:rsid w:val="005E01BF"/>
    <w:rsid w:val="005E2796"/>
    <w:rsid w:val="005F4CF7"/>
    <w:rsid w:val="006001A3"/>
    <w:rsid w:val="00604EE1"/>
    <w:rsid w:val="00615C16"/>
    <w:rsid w:val="00645451"/>
    <w:rsid w:val="00654124"/>
    <w:rsid w:val="00666CEC"/>
    <w:rsid w:val="00685526"/>
    <w:rsid w:val="00686D62"/>
    <w:rsid w:val="00687E57"/>
    <w:rsid w:val="006912D8"/>
    <w:rsid w:val="006A0077"/>
    <w:rsid w:val="006B6E2E"/>
    <w:rsid w:val="006F22DC"/>
    <w:rsid w:val="00703922"/>
    <w:rsid w:val="00703BBD"/>
    <w:rsid w:val="007062D7"/>
    <w:rsid w:val="007064C3"/>
    <w:rsid w:val="0073698D"/>
    <w:rsid w:val="00753D1A"/>
    <w:rsid w:val="00774221"/>
    <w:rsid w:val="0077458C"/>
    <w:rsid w:val="0077565E"/>
    <w:rsid w:val="007801FD"/>
    <w:rsid w:val="00792666"/>
    <w:rsid w:val="00793D29"/>
    <w:rsid w:val="007B73C3"/>
    <w:rsid w:val="007B7551"/>
    <w:rsid w:val="007C4C9A"/>
    <w:rsid w:val="007C596F"/>
    <w:rsid w:val="007D172E"/>
    <w:rsid w:val="007D2044"/>
    <w:rsid w:val="007D320E"/>
    <w:rsid w:val="007F2E24"/>
    <w:rsid w:val="00824C0A"/>
    <w:rsid w:val="008406C9"/>
    <w:rsid w:val="00852961"/>
    <w:rsid w:val="008572A7"/>
    <w:rsid w:val="008725E6"/>
    <w:rsid w:val="00886C44"/>
    <w:rsid w:val="008A1C81"/>
    <w:rsid w:val="008C23D8"/>
    <w:rsid w:val="008C4B33"/>
    <w:rsid w:val="008D20FC"/>
    <w:rsid w:val="008E25CD"/>
    <w:rsid w:val="008F0D04"/>
    <w:rsid w:val="008F589F"/>
    <w:rsid w:val="00906241"/>
    <w:rsid w:val="0091288C"/>
    <w:rsid w:val="00914E01"/>
    <w:rsid w:val="00921C24"/>
    <w:rsid w:val="00922172"/>
    <w:rsid w:val="0092612C"/>
    <w:rsid w:val="00935788"/>
    <w:rsid w:val="00953A7A"/>
    <w:rsid w:val="009646DA"/>
    <w:rsid w:val="00964C68"/>
    <w:rsid w:val="00983467"/>
    <w:rsid w:val="009A2373"/>
    <w:rsid w:val="009A2BCD"/>
    <w:rsid w:val="00A215BD"/>
    <w:rsid w:val="00A4172B"/>
    <w:rsid w:val="00A5612D"/>
    <w:rsid w:val="00A624D4"/>
    <w:rsid w:val="00A62592"/>
    <w:rsid w:val="00A629CA"/>
    <w:rsid w:val="00A805C3"/>
    <w:rsid w:val="00A853D0"/>
    <w:rsid w:val="00AA02FA"/>
    <w:rsid w:val="00AA16BD"/>
    <w:rsid w:val="00AC1077"/>
    <w:rsid w:val="00AD1D31"/>
    <w:rsid w:val="00B01E48"/>
    <w:rsid w:val="00B16781"/>
    <w:rsid w:val="00B16F23"/>
    <w:rsid w:val="00B2110E"/>
    <w:rsid w:val="00B26FD7"/>
    <w:rsid w:val="00B304F4"/>
    <w:rsid w:val="00B30C88"/>
    <w:rsid w:val="00B5169E"/>
    <w:rsid w:val="00B54E1C"/>
    <w:rsid w:val="00B563D0"/>
    <w:rsid w:val="00B6141D"/>
    <w:rsid w:val="00B62A92"/>
    <w:rsid w:val="00B72CE7"/>
    <w:rsid w:val="00B832AF"/>
    <w:rsid w:val="00B85345"/>
    <w:rsid w:val="00BB1F11"/>
    <w:rsid w:val="00BC65AC"/>
    <w:rsid w:val="00BD1293"/>
    <w:rsid w:val="00BD140B"/>
    <w:rsid w:val="00BE408C"/>
    <w:rsid w:val="00BE4D08"/>
    <w:rsid w:val="00BF4F21"/>
    <w:rsid w:val="00C3646D"/>
    <w:rsid w:val="00C76FA9"/>
    <w:rsid w:val="00C8317D"/>
    <w:rsid w:val="00C85882"/>
    <w:rsid w:val="00C86DE6"/>
    <w:rsid w:val="00CA1B22"/>
    <w:rsid w:val="00CA1B24"/>
    <w:rsid w:val="00CB7772"/>
    <w:rsid w:val="00CD1E89"/>
    <w:rsid w:val="00CD756D"/>
    <w:rsid w:val="00CF5909"/>
    <w:rsid w:val="00D157C0"/>
    <w:rsid w:val="00D15EFB"/>
    <w:rsid w:val="00D2128D"/>
    <w:rsid w:val="00D22446"/>
    <w:rsid w:val="00D275D8"/>
    <w:rsid w:val="00D4210E"/>
    <w:rsid w:val="00D47B04"/>
    <w:rsid w:val="00D55D5A"/>
    <w:rsid w:val="00D72039"/>
    <w:rsid w:val="00D74210"/>
    <w:rsid w:val="00D770B4"/>
    <w:rsid w:val="00D81D11"/>
    <w:rsid w:val="00D81D4A"/>
    <w:rsid w:val="00D9287E"/>
    <w:rsid w:val="00DA6F27"/>
    <w:rsid w:val="00DC604C"/>
    <w:rsid w:val="00DD0FFD"/>
    <w:rsid w:val="00DE16C7"/>
    <w:rsid w:val="00DF5545"/>
    <w:rsid w:val="00DF5F08"/>
    <w:rsid w:val="00E33425"/>
    <w:rsid w:val="00E36378"/>
    <w:rsid w:val="00E43BAA"/>
    <w:rsid w:val="00E57FE8"/>
    <w:rsid w:val="00E70916"/>
    <w:rsid w:val="00E7428B"/>
    <w:rsid w:val="00EA1FD9"/>
    <w:rsid w:val="00EA7369"/>
    <w:rsid w:val="00EB3D5E"/>
    <w:rsid w:val="00EB4371"/>
    <w:rsid w:val="00EB4710"/>
    <w:rsid w:val="00ED6413"/>
    <w:rsid w:val="00ED6931"/>
    <w:rsid w:val="00EE4508"/>
    <w:rsid w:val="00F2711A"/>
    <w:rsid w:val="00F51D98"/>
    <w:rsid w:val="00F60D21"/>
    <w:rsid w:val="00F64709"/>
    <w:rsid w:val="00F654BB"/>
    <w:rsid w:val="00F84551"/>
    <w:rsid w:val="00F97741"/>
    <w:rsid w:val="00FB5589"/>
    <w:rsid w:val="00FC30A0"/>
    <w:rsid w:val="00FE5336"/>
    <w:rsid w:val="00FF38A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011D8"/>
  <w15:chartTrackingRefBased/>
  <w15:docId w15:val="{BBB3AE9E-CB03-45A2-8B94-84E7066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customStyle="1" w:styleId="Default">
    <w:name w:val="Default"/>
    <w:rsid w:val="00B26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8D94-D57A-4BB3-B20B-053D2351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3</cp:revision>
  <dcterms:created xsi:type="dcterms:W3CDTF">2025-01-27T10:12:00Z</dcterms:created>
  <dcterms:modified xsi:type="dcterms:W3CDTF">2025-01-29T13:23:00Z</dcterms:modified>
</cp:coreProperties>
</file>