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DECE" w14:textId="454D57A2" w:rsidR="002F305A" w:rsidRPr="00625E8F" w:rsidRDefault="009D6532" w:rsidP="002F305A">
      <w:pPr>
        <w:jc w:val="both"/>
        <w:rPr>
          <w:rFonts w:cs="Arial"/>
          <w:color w:val="000000"/>
          <w:sz w:val="22"/>
          <w:szCs w:val="22"/>
        </w:rPr>
      </w:pPr>
      <w:bookmarkStart w:id="0" w:name="_Hlk77147316"/>
      <w:bookmarkStart w:id="1" w:name="_Hlk73020969"/>
      <w:r w:rsidRPr="009D6532">
        <w:rPr>
          <w:rFonts w:cs="Arial"/>
          <w:color w:val="000000"/>
          <w:sz w:val="22"/>
          <w:szCs w:val="22"/>
        </w:rPr>
        <w:t>To drive a professional programme and project management culture that delivers value for money and has customer focus to our planned maintenance and major works. To individually and as a team leader deliver</w:t>
      </w:r>
      <w:r w:rsidR="00A301CD">
        <w:rPr>
          <w:rFonts w:cs="Arial"/>
          <w:color w:val="000000"/>
          <w:sz w:val="22"/>
          <w:szCs w:val="22"/>
        </w:rPr>
        <w:t xml:space="preserve"> </w:t>
      </w:r>
      <w:r w:rsidRPr="009D6532">
        <w:rPr>
          <w:rFonts w:cs="Arial"/>
          <w:color w:val="000000"/>
          <w:sz w:val="22"/>
          <w:szCs w:val="22"/>
        </w:rPr>
        <w:t>projects that contribute to our great homes and neighbourhood standard. Taking responsibility for all professional services and works contracts required to deliver each project through RIBA stages 2 to 7.</w:t>
      </w:r>
    </w:p>
    <w:p w14:paraId="635348DE" w14:textId="77777777" w:rsidR="002F305A" w:rsidRPr="006001A3" w:rsidRDefault="002F305A" w:rsidP="002F305A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7E8C8745" w14:textId="77777777" w:rsidR="00625E8F" w:rsidRDefault="00625E8F" w:rsidP="002F305A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0D1F6A28" w14:textId="0BC0CD31" w:rsidR="002F305A" w:rsidRPr="00FA3095" w:rsidRDefault="002F305A" w:rsidP="002F305A">
      <w:pPr>
        <w:tabs>
          <w:tab w:val="left" w:pos="540"/>
        </w:tabs>
        <w:jc w:val="both"/>
        <w:rPr>
          <w:rFonts w:ascii="Bariol" w:hAnsi="Bariol" w:cs="Arial"/>
          <w:b/>
          <w:color w:val="000000"/>
          <w:sz w:val="24"/>
          <w:szCs w:val="24"/>
        </w:rPr>
      </w:pPr>
      <w:r w:rsidRPr="00FA3095">
        <w:rPr>
          <w:rFonts w:ascii="Bariol" w:hAnsi="Bariol" w:cs="Arial"/>
          <w:b/>
          <w:color w:val="002060"/>
          <w:sz w:val="28"/>
          <w:szCs w:val="28"/>
        </w:rPr>
        <w:t>What are my key responsibilities?</w:t>
      </w:r>
    </w:p>
    <w:p w14:paraId="09383D87" w14:textId="77777777" w:rsidR="002F305A" w:rsidRDefault="002F305A" w:rsidP="002F305A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</w:p>
    <w:p w14:paraId="524B75BB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Take ownership of all allocated projects.</w:t>
      </w:r>
    </w:p>
    <w:p w14:paraId="33F05D1A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273083F1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 xml:space="preserve">Provide professional services to ensure the successful delivery of projects including design, estimating, valuation, variation, cost control, quality control, statutory approval, timescales, project management, planning/control of the works. </w:t>
      </w:r>
    </w:p>
    <w:p w14:paraId="0B4271B2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0F107589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Oversee the procurement, appointment, briefing and management of contractors, consultants and supply chain partnerships. This may include in-house or external parties as appropriate within resourcing plans.</w:t>
      </w:r>
    </w:p>
    <w:p w14:paraId="0579C145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2AF825E5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 xml:space="preserve">Co-ordinate all CDM requirements, ensuring compliance.  </w:t>
      </w:r>
    </w:p>
    <w:p w14:paraId="0CD29404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05851E6B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Take the lead on relationship management with partnering contractors and consultants, developing a proactive and positive ethos.</w:t>
      </w:r>
    </w:p>
    <w:p w14:paraId="5EECB4DA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39E30210" w14:textId="19448900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Agree the programme of works with contractors, co-ordinate site activities, document refusals and agree changes with contractors and update the communications plan accordingly.</w:t>
      </w:r>
    </w:p>
    <w:p w14:paraId="54D2E4BF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399E516C" w14:textId="7A80DAC1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 xml:space="preserve">Ensure customers are informed and treated individually especially </w:t>
      </w:r>
      <w:r w:rsidR="009C4858" w:rsidRPr="00625E8F">
        <w:rPr>
          <w:rFonts w:cs="Arial"/>
          <w:sz w:val="22"/>
          <w:szCs w:val="22"/>
        </w:rPr>
        <w:t>regarding</w:t>
      </w:r>
      <w:r w:rsidRPr="00625E8F">
        <w:rPr>
          <w:rFonts w:cs="Arial"/>
          <w:sz w:val="22"/>
          <w:szCs w:val="22"/>
        </w:rPr>
        <w:t xml:space="preserve"> vulnerabilities they may have. Ensure compliance with data protection of customer information with all parties.</w:t>
      </w:r>
    </w:p>
    <w:p w14:paraId="09A67481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51D02B4A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Take the lead on project risk and opportunity management and all aspects of certification and compliance.</w:t>
      </w:r>
    </w:p>
    <w:p w14:paraId="3A199917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0312CDB8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Complete the project information plan for all projects to include performance KPI’s during and post completion.</w:t>
      </w:r>
    </w:p>
    <w:p w14:paraId="036AAE77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2EB3BB90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Provide specialist and expert advice appropriate to your professional discipline.</w:t>
      </w:r>
    </w:p>
    <w:p w14:paraId="402F53DA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72B0A6E6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Promote the Health and Safety, Environmental, Quality, Standards and Compliance agendas within the Programme Management Team.</w:t>
      </w:r>
    </w:p>
    <w:p w14:paraId="7DFFBFD6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576F5F5D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Promote the equalities agenda within whg and the Asset Management Team. Actively contribute to redressing under-representation within the Asset Management workforce.</w:t>
      </w:r>
    </w:p>
    <w:p w14:paraId="66AA5EE8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3107C83E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Review working practices on a regular basis ensuring continuous improvement and a high level of service to our customers.</w:t>
      </w:r>
    </w:p>
    <w:p w14:paraId="1299C3D3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2FFA2C34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Deliver against Key Performance Indicators and individual targets.</w:t>
      </w:r>
    </w:p>
    <w:p w14:paraId="2B7E835C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2F822A4D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>Work in accordance with whg policies and procedures.</w:t>
      </w:r>
    </w:p>
    <w:p w14:paraId="2F9DA98F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4E7EA7C4" w14:textId="77777777" w:rsidR="009D6532" w:rsidRPr="00625E8F" w:rsidRDefault="009D6532" w:rsidP="00625E8F">
      <w:pPr>
        <w:pStyle w:val="ListParagraph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 w:rsidRPr="00625E8F">
        <w:rPr>
          <w:rFonts w:cs="Arial"/>
          <w:sz w:val="22"/>
          <w:szCs w:val="22"/>
        </w:rPr>
        <w:t xml:space="preserve">Act </w:t>
      </w:r>
      <w:proofErr w:type="gramStart"/>
      <w:r w:rsidRPr="00625E8F">
        <w:rPr>
          <w:rFonts w:cs="Arial"/>
          <w:sz w:val="22"/>
          <w:szCs w:val="22"/>
        </w:rPr>
        <w:t>at all times</w:t>
      </w:r>
      <w:proofErr w:type="gramEnd"/>
      <w:r w:rsidRPr="00625E8F">
        <w:rPr>
          <w:rFonts w:cs="Arial"/>
          <w:sz w:val="22"/>
          <w:szCs w:val="22"/>
        </w:rPr>
        <w:t xml:space="preserve"> in the interests of whg and its customers.</w:t>
      </w:r>
    </w:p>
    <w:p w14:paraId="5B296E1C" w14:textId="77777777" w:rsidR="009D6532" w:rsidRPr="009D6532" w:rsidRDefault="009D6532" w:rsidP="009D6532">
      <w:pPr>
        <w:jc w:val="both"/>
        <w:rPr>
          <w:rFonts w:cs="Arial"/>
          <w:sz w:val="22"/>
          <w:szCs w:val="22"/>
        </w:rPr>
      </w:pPr>
    </w:p>
    <w:p w14:paraId="6D417537" w14:textId="77777777" w:rsidR="002F305A" w:rsidRPr="006001A3" w:rsidRDefault="002F305A" w:rsidP="002F305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35FCF19" w14:textId="77777777" w:rsidR="00625E8F" w:rsidRDefault="00625E8F" w:rsidP="001A055C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7F1E8752" w14:textId="3D61289C" w:rsidR="002F305A" w:rsidRPr="001A055C" w:rsidRDefault="002F305A" w:rsidP="001A055C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B24261">
        <w:rPr>
          <w:rFonts w:ascii="Bariol" w:hAnsi="Bariol" w:cs="Arial"/>
          <w:b/>
          <w:color w:val="002060"/>
          <w:sz w:val="28"/>
          <w:szCs w:val="28"/>
        </w:rPr>
        <w:t>Relationships</w:t>
      </w:r>
    </w:p>
    <w:p w14:paraId="367AEE5E" w14:textId="77777777" w:rsidR="009D6532" w:rsidRPr="009D6532" w:rsidRDefault="009D6532" w:rsidP="009D6532">
      <w:pPr>
        <w:jc w:val="both"/>
        <w:rPr>
          <w:rFonts w:cs="Arial"/>
          <w:color w:val="000000"/>
          <w:sz w:val="22"/>
          <w:szCs w:val="22"/>
        </w:rPr>
      </w:pPr>
    </w:p>
    <w:p w14:paraId="0A565002" w14:textId="3C552476" w:rsidR="00BB5B7A" w:rsidRDefault="00BB5B7A" w:rsidP="00625E8F">
      <w:pPr>
        <w:jc w:val="both"/>
        <w:rPr>
          <w:rFonts w:cs="Arial"/>
          <w:color w:val="000000"/>
          <w:sz w:val="22"/>
          <w:szCs w:val="22"/>
        </w:rPr>
      </w:pPr>
      <w:r w:rsidRPr="00BB5B7A">
        <w:rPr>
          <w:rFonts w:cs="Arial"/>
          <w:color w:val="000000"/>
          <w:sz w:val="22"/>
          <w:szCs w:val="22"/>
        </w:rPr>
        <w:t xml:space="preserve">You will report directly to the </w:t>
      </w:r>
      <w:r w:rsidR="00EF1CCD">
        <w:rPr>
          <w:rFonts w:cs="Arial"/>
          <w:color w:val="000000"/>
          <w:sz w:val="22"/>
          <w:szCs w:val="22"/>
        </w:rPr>
        <w:t xml:space="preserve">Head of </w:t>
      </w:r>
      <w:r w:rsidRPr="00BB5B7A">
        <w:rPr>
          <w:rFonts w:cs="Arial"/>
          <w:color w:val="000000"/>
          <w:sz w:val="22"/>
          <w:szCs w:val="22"/>
        </w:rPr>
        <w:t>Programme Manage</w:t>
      </w:r>
      <w:r w:rsidR="00EF1CCD">
        <w:rPr>
          <w:rFonts w:cs="Arial"/>
          <w:color w:val="000000"/>
          <w:sz w:val="22"/>
          <w:szCs w:val="22"/>
        </w:rPr>
        <w:t>ment</w:t>
      </w:r>
      <w:r>
        <w:rPr>
          <w:rFonts w:cs="Arial"/>
          <w:color w:val="000000"/>
          <w:sz w:val="22"/>
          <w:szCs w:val="22"/>
        </w:rPr>
        <w:t>.</w:t>
      </w:r>
    </w:p>
    <w:p w14:paraId="737F48AF" w14:textId="77777777" w:rsidR="00BB5B7A" w:rsidRDefault="00BB5B7A" w:rsidP="00625E8F">
      <w:pPr>
        <w:jc w:val="both"/>
        <w:rPr>
          <w:rFonts w:cs="Arial"/>
          <w:color w:val="000000"/>
          <w:sz w:val="22"/>
          <w:szCs w:val="22"/>
        </w:rPr>
      </w:pPr>
    </w:p>
    <w:p w14:paraId="25175FD8" w14:textId="120AF261" w:rsidR="009D6532" w:rsidRPr="00625E8F" w:rsidRDefault="00BB5B7A" w:rsidP="00625E8F">
      <w:pPr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will have m</w:t>
      </w:r>
      <w:r w:rsidR="009D6532" w:rsidRPr="00625E8F">
        <w:rPr>
          <w:rFonts w:cs="Arial"/>
          <w:color w:val="000000"/>
          <w:sz w:val="22"/>
          <w:szCs w:val="22"/>
        </w:rPr>
        <w:t>anagement responsibility for Project Delivery Officers and Customer Liaison Agents.</w:t>
      </w:r>
    </w:p>
    <w:p w14:paraId="71B47E7B" w14:textId="2993A60A" w:rsidR="009D6532" w:rsidRDefault="009D6532" w:rsidP="00625E8F">
      <w:pPr>
        <w:jc w:val="both"/>
        <w:rPr>
          <w:rFonts w:cs="Arial"/>
          <w:color w:val="000000"/>
          <w:sz w:val="22"/>
          <w:szCs w:val="22"/>
        </w:rPr>
      </w:pPr>
    </w:p>
    <w:p w14:paraId="629F5C25" w14:textId="4E75F249" w:rsidR="00057E80" w:rsidRDefault="008830FB" w:rsidP="00305940">
      <w:pPr>
        <w:jc w:val="both"/>
        <w:rPr>
          <w:rFonts w:cs="Arial"/>
          <w:color w:val="000000"/>
          <w:sz w:val="22"/>
          <w:szCs w:val="22"/>
        </w:rPr>
      </w:pPr>
      <w:r w:rsidRPr="008830FB">
        <w:rPr>
          <w:rFonts w:cs="Arial"/>
          <w:color w:val="000000"/>
          <w:sz w:val="22"/>
          <w:szCs w:val="22"/>
        </w:rPr>
        <w:t xml:space="preserve">You are required to support and engage with different parts of the organisation, working across teams and at various levels.  Specifically, you will need to work closely with colleagues in </w:t>
      </w:r>
      <w:r w:rsidR="00EF1CCD">
        <w:rPr>
          <w:rFonts w:cs="Arial"/>
          <w:color w:val="000000"/>
          <w:sz w:val="22"/>
          <w:szCs w:val="22"/>
        </w:rPr>
        <w:t xml:space="preserve">Asset Investment </w:t>
      </w:r>
      <w:r w:rsidR="00057E80" w:rsidRPr="00057E80">
        <w:rPr>
          <w:rFonts w:cs="Arial"/>
          <w:color w:val="000000"/>
          <w:sz w:val="22"/>
          <w:szCs w:val="22"/>
        </w:rPr>
        <w:t>Delivery Team</w:t>
      </w:r>
      <w:r w:rsidR="002C7081">
        <w:rPr>
          <w:rFonts w:cs="Arial"/>
          <w:color w:val="000000"/>
          <w:sz w:val="22"/>
          <w:szCs w:val="22"/>
        </w:rPr>
        <w:t>,</w:t>
      </w:r>
      <w:r w:rsidR="00057E80" w:rsidRPr="00057E80">
        <w:rPr>
          <w:rFonts w:cs="Arial"/>
          <w:color w:val="000000"/>
          <w:sz w:val="22"/>
          <w:szCs w:val="22"/>
        </w:rPr>
        <w:t xml:space="preserve"> Planning Team, wider Asset Management Team and other whg colleagues</w:t>
      </w:r>
      <w:r w:rsidR="00DA17BE">
        <w:rPr>
          <w:rFonts w:cs="Arial"/>
          <w:color w:val="000000"/>
          <w:sz w:val="22"/>
          <w:szCs w:val="22"/>
        </w:rPr>
        <w:t>.</w:t>
      </w:r>
      <w:r w:rsidR="00305940">
        <w:rPr>
          <w:rFonts w:cs="Arial"/>
          <w:color w:val="000000"/>
          <w:sz w:val="22"/>
          <w:szCs w:val="22"/>
        </w:rPr>
        <w:t xml:space="preserve"> You will build rapport and work effectively with </w:t>
      </w:r>
      <w:r w:rsidR="00241566">
        <w:rPr>
          <w:rFonts w:cs="Arial"/>
          <w:color w:val="000000"/>
          <w:sz w:val="22"/>
          <w:szCs w:val="22"/>
        </w:rPr>
        <w:t>E</w:t>
      </w:r>
      <w:r w:rsidR="00305940">
        <w:rPr>
          <w:rFonts w:cs="Arial"/>
          <w:color w:val="000000"/>
          <w:sz w:val="22"/>
          <w:szCs w:val="22"/>
        </w:rPr>
        <w:t>xt</w:t>
      </w:r>
      <w:r w:rsidR="00241566">
        <w:rPr>
          <w:rFonts w:cs="Arial"/>
          <w:color w:val="000000"/>
          <w:sz w:val="22"/>
          <w:szCs w:val="22"/>
        </w:rPr>
        <w:t xml:space="preserve">ernal </w:t>
      </w:r>
      <w:r w:rsidR="00305940" w:rsidRPr="00305940">
        <w:rPr>
          <w:rFonts w:cs="Arial"/>
          <w:color w:val="000000"/>
          <w:sz w:val="22"/>
          <w:szCs w:val="22"/>
        </w:rPr>
        <w:t>Contractors, Consultants, Supply Chain Partnerships and peers within other organisations.</w:t>
      </w:r>
    </w:p>
    <w:p w14:paraId="094DF447" w14:textId="77777777" w:rsidR="00241566" w:rsidRDefault="00241566" w:rsidP="002F305A">
      <w:pPr>
        <w:jc w:val="both"/>
        <w:rPr>
          <w:rFonts w:cs="Arial"/>
          <w:color w:val="000000"/>
          <w:sz w:val="22"/>
          <w:szCs w:val="22"/>
        </w:rPr>
      </w:pPr>
    </w:p>
    <w:p w14:paraId="504C0D87" w14:textId="7D282CDC" w:rsidR="002F305A" w:rsidRPr="00362828" w:rsidRDefault="002F305A" w:rsidP="002F305A">
      <w:pPr>
        <w:jc w:val="both"/>
        <w:rPr>
          <w:rFonts w:cs="Arial"/>
          <w:sz w:val="22"/>
          <w:szCs w:val="22"/>
          <w:u w:val="single"/>
        </w:rPr>
      </w:pP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  <w:r w:rsidRPr="00362828">
        <w:rPr>
          <w:rFonts w:cs="Arial"/>
          <w:sz w:val="22"/>
          <w:szCs w:val="22"/>
          <w:u w:val="single"/>
        </w:rPr>
        <w:tab/>
      </w:r>
    </w:p>
    <w:p w14:paraId="6F45AD84" w14:textId="77777777" w:rsidR="00625E8F" w:rsidRDefault="00625E8F" w:rsidP="002F305A">
      <w:pPr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10AFC4D2" w14:textId="4EB0CA17" w:rsidR="002F305A" w:rsidRDefault="002F305A" w:rsidP="002F305A">
      <w:pPr>
        <w:jc w:val="both"/>
        <w:rPr>
          <w:rFonts w:ascii="Bariol" w:hAnsi="Bariol" w:cs="Arial"/>
          <w:b/>
          <w:sz w:val="24"/>
          <w:szCs w:val="24"/>
        </w:rPr>
      </w:pPr>
      <w:r w:rsidRPr="00362828">
        <w:rPr>
          <w:rFonts w:ascii="Bariol" w:hAnsi="Bariol" w:cs="Arial"/>
          <w:b/>
          <w:color w:val="002060"/>
          <w:sz w:val="28"/>
          <w:szCs w:val="28"/>
        </w:rPr>
        <w:t>Role Requirements</w:t>
      </w:r>
      <w:r w:rsidRPr="00362828">
        <w:rPr>
          <w:rFonts w:ascii="Bariol" w:hAnsi="Bariol" w:cs="Arial"/>
          <w:b/>
          <w:sz w:val="24"/>
          <w:szCs w:val="24"/>
        </w:rPr>
        <w:t xml:space="preserve">: </w:t>
      </w:r>
    </w:p>
    <w:p w14:paraId="5B9D7BB6" w14:textId="77777777" w:rsidR="00A3284D" w:rsidRDefault="00A3284D" w:rsidP="002F305A">
      <w:pPr>
        <w:jc w:val="both"/>
        <w:rPr>
          <w:rFonts w:ascii="Bariol" w:hAnsi="Bariol" w:cs="Arial"/>
          <w:b/>
          <w:sz w:val="24"/>
          <w:szCs w:val="24"/>
        </w:rPr>
      </w:pPr>
    </w:p>
    <w:p w14:paraId="64C50AC9" w14:textId="045730CE" w:rsidR="00A3284D" w:rsidRPr="00A3284D" w:rsidRDefault="00A3284D" w:rsidP="002F305A">
      <w:pPr>
        <w:jc w:val="both"/>
        <w:rPr>
          <w:rFonts w:cs="Arial"/>
          <w:bCs/>
          <w:sz w:val="22"/>
          <w:szCs w:val="22"/>
        </w:rPr>
      </w:pPr>
      <w:r w:rsidRPr="00A3284D">
        <w:rPr>
          <w:rFonts w:cs="Arial"/>
          <w:bCs/>
          <w:sz w:val="22"/>
          <w:szCs w:val="22"/>
        </w:rPr>
        <w:t>There are certain qualifications and experience that we are looking for to operate effectively as a</w:t>
      </w:r>
      <w:r w:rsidR="006F120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Project Manager</w:t>
      </w:r>
      <w:r w:rsidRPr="00A3284D">
        <w:rPr>
          <w:rFonts w:cs="Arial"/>
          <w:bCs/>
          <w:sz w:val="22"/>
          <w:szCs w:val="22"/>
        </w:rPr>
        <w:t>, specifically:</w:t>
      </w:r>
    </w:p>
    <w:p w14:paraId="421E586C" w14:textId="77777777" w:rsidR="002F305A" w:rsidRPr="00362828" w:rsidRDefault="002F305A" w:rsidP="002F305A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01E59C26" w14:textId="5677182A" w:rsidR="009D6532" w:rsidRPr="00625E8F" w:rsidRDefault="009D6532" w:rsidP="009D6532">
      <w:pPr>
        <w:numPr>
          <w:ilvl w:val="0"/>
          <w:numId w:val="33"/>
        </w:numPr>
        <w:jc w:val="both"/>
        <w:rPr>
          <w:rFonts w:cs="Arial"/>
          <w:b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Recent experience of successfully delivering </w:t>
      </w:r>
      <w:r w:rsidR="00F64461" w:rsidRPr="00362828">
        <w:rPr>
          <w:rFonts w:cs="Arial"/>
          <w:sz w:val="22"/>
          <w:szCs w:val="22"/>
        </w:rPr>
        <w:t>Decarbonisation</w:t>
      </w:r>
      <w:r w:rsidR="00E179F8" w:rsidRPr="00362828">
        <w:rPr>
          <w:rFonts w:cs="Arial"/>
          <w:sz w:val="22"/>
          <w:szCs w:val="22"/>
        </w:rPr>
        <w:t xml:space="preserve"> works</w:t>
      </w:r>
      <w:r w:rsidR="00E54861" w:rsidRPr="00362828">
        <w:rPr>
          <w:rFonts w:cs="Arial"/>
          <w:sz w:val="22"/>
          <w:szCs w:val="22"/>
        </w:rPr>
        <w:t xml:space="preserve"> inc. EWI</w:t>
      </w:r>
      <w:r w:rsidR="00EB6DB3" w:rsidRPr="00362828">
        <w:rPr>
          <w:rFonts w:cs="Arial"/>
          <w:sz w:val="22"/>
          <w:szCs w:val="22"/>
        </w:rPr>
        <w:t xml:space="preserve"> and other associated measure</w:t>
      </w:r>
      <w:r w:rsidR="00465323" w:rsidRPr="00362828">
        <w:rPr>
          <w:rFonts w:cs="Arial"/>
          <w:sz w:val="22"/>
          <w:szCs w:val="22"/>
        </w:rPr>
        <w:t>s</w:t>
      </w:r>
      <w:r w:rsidR="002F3BBC" w:rsidRPr="00362828">
        <w:rPr>
          <w:rFonts w:cs="Arial"/>
          <w:sz w:val="22"/>
          <w:szCs w:val="22"/>
        </w:rPr>
        <w:t>,</w:t>
      </w:r>
      <w:r w:rsidR="006D1F7E" w:rsidRPr="00362828">
        <w:rPr>
          <w:rFonts w:cs="Arial"/>
          <w:sz w:val="22"/>
          <w:szCs w:val="22"/>
        </w:rPr>
        <w:t xml:space="preserve"> detailed knowle</w:t>
      </w:r>
      <w:r w:rsidR="005918F1" w:rsidRPr="00362828">
        <w:rPr>
          <w:rFonts w:cs="Arial"/>
          <w:sz w:val="22"/>
          <w:szCs w:val="22"/>
        </w:rPr>
        <w:t>dge of asbestos</w:t>
      </w:r>
      <w:r w:rsidR="002F5B55" w:rsidRPr="00362828">
        <w:rPr>
          <w:rFonts w:cs="Arial"/>
          <w:sz w:val="22"/>
          <w:szCs w:val="22"/>
        </w:rPr>
        <w:t xml:space="preserve"> removal</w:t>
      </w:r>
      <w:r w:rsidR="005918F1" w:rsidRPr="00362828">
        <w:rPr>
          <w:rFonts w:cs="Arial"/>
          <w:sz w:val="22"/>
          <w:szCs w:val="22"/>
        </w:rPr>
        <w:t>,</w:t>
      </w:r>
      <w:r w:rsidR="00F64461" w:rsidRPr="00362828">
        <w:rPr>
          <w:rFonts w:cs="Arial"/>
          <w:sz w:val="22"/>
          <w:szCs w:val="22"/>
        </w:rPr>
        <w:t xml:space="preserve"> </w:t>
      </w:r>
      <w:r w:rsidRPr="00362828">
        <w:rPr>
          <w:rFonts w:cs="Arial"/>
          <w:sz w:val="22"/>
          <w:szCs w:val="22"/>
        </w:rPr>
        <w:t xml:space="preserve">refurbishment and housing </w:t>
      </w:r>
      <w:r w:rsidRPr="00362828">
        <w:rPr>
          <w:rFonts w:cs="Arial"/>
          <w:sz w:val="22"/>
          <w:szCs w:val="22"/>
        </w:rPr>
        <w:t xml:space="preserve">projects within the Social Housing sector including </w:t>
      </w:r>
      <w:r w:rsidR="003C2442" w:rsidRPr="00362828">
        <w:rPr>
          <w:rFonts w:cs="Arial"/>
          <w:sz w:val="22"/>
          <w:szCs w:val="22"/>
        </w:rPr>
        <w:t>H</w:t>
      </w:r>
      <w:r w:rsidRPr="00362828">
        <w:rPr>
          <w:rFonts w:cs="Arial"/>
          <w:sz w:val="22"/>
          <w:szCs w:val="22"/>
        </w:rPr>
        <w:t>&amp;</w:t>
      </w:r>
      <w:r w:rsidR="003C2442" w:rsidRPr="00362828">
        <w:rPr>
          <w:rFonts w:cs="Arial"/>
          <w:sz w:val="22"/>
          <w:szCs w:val="22"/>
        </w:rPr>
        <w:t>S</w:t>
      </w:r>
      <w:r w:rsidRPr="00362828">
        <w:rPr>
          <w:rFonts w:cs="Arial"/>
          <w:sz w:val="22"/>
          <w:szCs w:val="22"/>
        </w:rPr>
        <w:t>, Building Safety</w:t>
      </w:r>
      <w:r w:rsidR="00C83015" w:rsidRPr="00362828">
        <w:rPr>
          <w:rFonts w:cs="Arial"/>
          <w:sz w:val="22"/>
          <w:szCs w:val="22"/>
        </w:rPr>
        <w:t xml:space="preserve"> Act</w:t>
      </w:r>
      <w:r w:rsidRPr="00362828">
        <w:rPr>
          <w:rFonts w:cs="Arial"/>
          <w:sz w:val="22"/>
          <w:szCs w:val="22"/>
        </w:rPr>
        <w:t xml:space="preserve">, </w:t>
      </w:r>
      <w:r w:rsidR="00710405" w:rsidRPr="00362828">
        <w:rPr>
          <w:rFonts w:cs="Arial"/>
          <w:sz w:val="22"/>
          <w:szCs w:val="22"/>
        </w:rPr>
        <w:t xml:space="preserve">Procurement Act </w:t>
      </w:r>
      <w:r w:rsidRPr="00362828">
        <w:rPr>
          <w:rFonts w:cs="Arial"/>
          <w:sz w:val="22"/>
          <w:szCs w:val="22"/>
        </w:rPr>
        <w:t xml:space="preserve">and Decent Homes. </w:t>
      </w:r>
    </w:p>
    <w:p w14:paraId="35F98331" w14:textId="77777777" w:rsidR="00625E8F" w:rsidRPr="00362828" w:rsidRDefault="00625E8F" w:rsidP="00625E8F">
      <w:pPr>
        <w:ind w:left="360"/>
        <w:jc w:val="both"/>
        <w:rPr>
          <w:rFonts w:cs="Arial"/>
          <w:b/>
          <w:sz w:val="22"/>
          <w:szCs w:val="22"/>
        </w:rPr>
      </w:pPr>
    </w:p>
    <w:p w14:paraId="60A4182C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CIOB membership at Member or Fellow status with evidence of continuous professional development and an up to date working knowledge of the latest developments and in the construction industry.</w:t>
      </w:r>
    </w:p>
    <w:p w14:paraId="432C7B17" w14:textId="77777777" w:rsidR="00625E8F" w:rsidRPr="00362828" w:rsidRDefault="00625E8F" w:rsidP="00625E8F">
      <w:pPr>
        <w:ind w:left="360"/>
        <w:jc w:val="both"/>
        <w:rPr>
          <w:rFonts w:cs="Arial"/>
          <w:sz w:val="22"/>
          <w:szCs w:val="22"/>
        </w:rPr>
      </w:pPr>
    </w:p>
    <w:p w14:paraId="12403CF0" w14:textId="2B57BC23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A degree level qualification in a related area such as Construction Project Management, Quantity Surveying, Building Surveying, Engineering or Architecture, or qualified by recent and relevant significant experience</w:t>
      </w:r>
      <w:r w:rsidR="003516D2" w:rsidRPr="00362828">
        <w:rPr>
          <w:rFonts w:cs="Arial"/>
          <w:sz w:val="22"/>
          <w:szCs w:val="22"/>
        </w:rPr>
        <w:t xml:space="preserve"> in the co</w:t>
      </w:r>
      <w:r w:rsidR="002D52A5" w:rsidRPr="00362828">
        <w:rPr>
          <w:rFonts w:cs="Arial"/>
          <w:sz w:val="22"/>
          <w:szCs w:val="22"/>
        </w:rPr>
        <w:t>nstruction industry.</w:t>
      </w:r>
    </w:p>
    <w:p w14:paraId="3209C11C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456E6B59" w14:textId="34C84C41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Knowledge of statutory property compliance, including Fire Risk Assessments</w:t>
      </w:r>
      <w:r w:rsidR="00EF1CCD">
        <w:rPr>
          <w:rFonts w:cs="Arial"/>
          <w:sz w:val="22"/>
          <w:szCs w:val="22"/>
        </w:rPr>
        <w:t xml:space="preserve"> and the building regulator gateways</w:t>
      </w:r>
      <w:r w:rsidRPr="00362828">
        <w:rPr>
          <w:rFonts w:cs="Arial"/>
          <w:sz w:val="22"/>
          <w:szCs w:val="22"/>
        </w:rPr>
        <w:t>.</w:t>
      </w:r>
    </w:p>
    <w:p w14:paraId="2E8D8FBC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8191CF5" w14:textId="507306F0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Experience of building and maintaining effective internal and external relationships</w:t>
      </w:r>
      <w:r w:rsidR="00625E8F">
        <w:rPr>
          <w:rFonts w:cs="Arial"/>
          <w:sz w:val="22"/>
          <w:szCs w:val="22"/>
        </w:rPr>
        <w:t>.</w:t>
      </w:r>
    </w:p>
    <w:p w14:paraId="4C25AEDA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5828B3AD" w14:textId="07DC35DE" w:rsidR="00BF5BEA" w:rsidRDefault="00BF5BEA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Stakeholder management – </w:t>
      </w:r>
      <w:r w:rsidR="00301630" w:rsidRPr="00362828">
        <w:rPr>
          <w:rFonts w:cs="Arial"/>
          <w:sz w:val="22"/>
          <w:szCs w:val="22"/>
        </w:rPr>
        <w:t xml:space="preserve">WHG customers, </w:t>
      </w:r>
      <w:r w:rsidRPr="00362828">
        <w:rPr>
          <w:rFonts w:cs="Arial"/>
          <w:sz w:val="22"/>
          <w:szCs w:val="22"/>
        </w:rPr>
        <w:t>main contactor</w:t>
      </w:r>
      <w:r w:rsidR="00301630" w:rsidRPr="00362828">
        <w:rPr>
          <w:rFonts w:cs="Arial"/>
          <w:sz w:val="22"/>
          <w:szCs w:val="22"/>
        </w:rPr>
        <w:t>s</w:t>
      </w:r>
      <w:r w:rsidR="001D130C" w:rsidRPr="00362828">
        <w:rPr>
          <w:rFonts w:cs="Arial"/>
          <w:sz w:val="22"/>
          <w:szCs w:val="22"/>
        </w:rPr>
        <w:t>, sub-contractors, direct appointment</w:t>
      </w:r>
      <w:r w:rsidR="00CC2C71" w:rsidRPr="00362828">
        <w:rPr>
          <w:rFonts w:cs="Arial"/>
          <w:sz w:val="22"/>
          <w:szCs w:val="22"/>
        </w:rPr>
        <w:t>s</w:t>
      </w:r>
      <w:r w:rsidR="00301630" w:rsidRPr="00362828">
        <w:rPr>
          <w:rFonts w:cs="Arial"/>
          <w:sz w:val="22"/>
          <w:szCs w:val="22"/>
        </w:rPr>
        <w:t xml:space="preserve"> of specialist services</w:t>
      </w:r>
      <w:r w:rsidR="00625E8F">
        <w:rPr>
          <w:rFonts w:cs="Arial"/>
          <w:sz w:val="22"/>
          <w:szCs w:val="22"/>
        </w:rPr>
        <w:t>.</w:t>
      </w:r>
    </w:p>
    <w:p w14:paraId="15CC871F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678C4DC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Excellent IT skills, in particular the ability to use Microsoft Word and Excel and programme management systems.</w:t>
      </w:r>
    </w:p>
    <w:p w14:paraId="3C525F6A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52250E4D" w14:textId="4AA8A0C2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Excellent </w:t>
      </w:r>
      <w:r w:rsidR="00EC6C77" w:rsidRPr="00362828">
        <w:rPr>
          <w:rFonts w:cs="Arial"/>
          <w:sz w:val="22"/>
          <w:szCs w:val="22"/>
        </w:rPr>
        <w:t>problem-solving</w:t>
      </w:r>
      <w:r w:rsidRPr="00362828">
        <w:rPr>
          <w:rFonts w:cs="Arial"/>
          <w:sz w:val="22"/>
          <w:szCs w:val="22"/>
        </w:rPr>
        <w:t xml:space="preserve"> skills and an ability to make appropriate decisions</w:t>
      </w:r>
      <w:r w:rsidR="00F94CCD" w:rsidRPr="00362828">
        <w:rPr>
          <w:rFonts w:cs="Arial"/>
          <w:sz w:val="22"/>
          <w:szCs w:val="22"/>
        </w:rPr>
        <w:t xml:space="preserve"> in a timely manner </w:t>
      </w:r>
      <w:r w:rsidR="00286F13" w:rsidRPr="00362828">
        <w:rPr>
          <w:rFonts w:cs="Arial"/>
          <w:sz w:val="22"/>
          <w:szCs w:val="22"/>
        </w:rPr>
        <w:t>with positive outcomes</w:t>
      </w:r>
      <w:r w:rsidR="00625E8F">
        <w:rPr>
          <w:rFonts w:cs="Arial"/>
          <w:sz w:val="22"/>
          <w:szCs w:val="22"/>
        </w:rPr>
        <w:t>.</w:t>
      </w:r>
    </w:p>
    <w:p w14:paraId="6AA0FC69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72A28CC4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A willingness to take personal responsibility for projects and actions.</w:t>
      </w:r>
    </w:p>
    <w:p w14:paraId="31AD10E6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69568569" w14:textId="32A5C3AC" w:rsidR="00127BBC" w:rsidRDefault="009D6532" w:rsidP="00E8064C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The ability to motivate teams</w:t>
      </w:r>
      <w:r w:rsidR="00F94CCD" w:rsidRPr="00362828">
        <w:rPr>
          <w:rFonts w:cs="Arial"/>
          <w:sz w:val="22"/>
          <w:szCs w:val="22"/>
        </w:rPr>
        <w:t xml:space="preserve"> and maintain motivation</w:t>
      </w:r>
      <w:r w:rsidR="00625E8F">
        <w:rPr>
          <w:rFonts w:cs="Arial"/>
          <w:sz w:val="22"/>
          <w:szCs w:val="22"/>
        </w:rPr>
        <w:t>.</w:t>
      </w:r>
    </w:p>
    <w:p w14:paraId="54B3EBB2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91B679A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Excellent verbal and written communication skills.</w:t>
      </w:r>
    </w:p>
    <w:p w14:paraId="7FA75F05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56F2198A" w14:textId="286EE498" w:rsidR="00D27A83" w:rsidRDefault="00D27A83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Report writing </w:t>
      </w:r>
      <w:r w:rsidR="005F7821" w:rsidRPr="00362828">
        <w:rPr>
          <w:rFonts w:cs="Arial"/>
          <w:sz w:val="22"/>
          <w:szCs w:val="22"/>
        </w:rPr>
        <w:t>– weekly dashboards and monthly reports</w:t>
      </w:r>
      <w:r w:rsidR="00625E8F">
        <w:rPr>
          <w:rFonts w:cs="Arial"/>
          <w:sz w:val="22"/>
          <w:szCs w:val="22"/>
        </w:rPr>
        <w:t>.</w:t>
      </w:r>
    </w:p>
    <w:p w14:paraId="76E4994E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7F254634" w14:textId="2D57BFE2" w:rsidR="00D70287" w:rsidRDefault="002B435F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Programme management – produce detailed </w:t>
      </w:r>
      <w:r w:rsidR="00710405" w:rsidRPr="00362828">
        <w:rPr>
          <w:rFonts w:cs="Arial"/>
          <w:sz w:val="22"/>
          <w:szCs w:val="22"/>
        </w:rPr>
        <w:t>programmes</w:t>
      </w:r>
      <w:r w:rsidR="002046FF" w:rsidRPr="00362828">
        <w:rPr>
          <w:rFonts w:cs="Arial"/>
          <w:sz w:val="22"/>
          <w:szCs w:val="22"/>
        </w:rPr>
        <w:t xml:space="preserve"> for all relevant workstreams</w:t>
      </w:r>
      <w:r w:rsidR="00012058" w:rsidRPr="00362828">
        <w:rPr>
          <w:rFonts w:cs="Arial"/>
          <w:sz w:val="22"/>
          <w:szCs w:val="22"/>
        </w:rPr>
        <w:t xml:space="preserve"> across a complete mu</w:t>
      </w:r>
      <w:r w:rsidR="00584B21" w:rsidRPr="00362828">
        <w:rPr>
          <w:rFonts w:cs="Arial"/>
          <w:sz w:val="22"/>
          <w:szCs w:val="22"/>
        </w:rPr>
        <w:t>l</w:t>
      </w:r>
      <w:r w:rsidR="00012058" w:rsidRPr="00362828">
        <w:rPr>
          <w:rFonts w:cs="Arial"/>
          <w:sz w:val="22"/>
          <w:szCs w:val="22"/>
        </w:rPr>
        <w:t xml:space="preserve">ti streamed </w:t>
      </w:r>
      <w:r w:rsidR="00584B21" w:rsidRPr="00362828">
        <w:rPr>
          <w:rFonts w:cs="Arial"/>
          <w:sz w:val="22"/>
          <w:szCs w:val="22"/>
        </w:rPr>
        <w:t>project that sits as part of a wider programme of works</w:t>
      </w:r>
      <w:r w:rsidR="00625E8F">
        <w:rPr>
          <w:rFonts w:cs="Arial"/>
          <w:sz w:val="22"/>
          <w:szCs w:val="22"/>
        </w:rPr>
        <w:t>.</w:t>
      </w:r>
    </w:p>
    <w:p w14:paraId="4872D851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0ADA47E" w14:textId="071B4BCB" w:rsidR="002B435F" w:rsidRDefault="00D70287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Risk management and mitigation measures </w:t>
      </w:r>
      <w:r w:rsidR="00216CFB" w:rsidRPr="00362828">
        <w:rPr>
          <w:rFonts w:cs="Arial"/>
          <w:sz w:val="22"/>
          <w:szCs w:val="22"/>
        </w:rPr>
        <w:t>– programme and cost</w:t>
      </w:r>
      <w:r w:rsidR="00625E8F">
        <w:rPr>
          <w:rFonts w:cs="Arial"/>
          <w:sz w:val="22"/>
          <w:szCs w:val="22"/>
        </w:rPr>
        <w:t>.</w:t>
      </w:r>
    </w:p>
    <w:p w14:paraId="12290B3C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0ACA65C0" w14:textId="38E0CCE6" w:rsidR="00541706" w:rsidRDefault="00541706" w:rsidP="00C936A1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Experience of Contract Management -JCT 2016</w:t>
      </w:r>
      <w:r w:rsidR="00EF1CCD">
        <w:rPr>
          <w:rFonts w:cs="Arial"/>
          <w:sz w:val="22"/>
          <w:szCs w:val="22"/>
        </w:rPr>
        <w:t xml:space="preserve"> Measured Term and Design and Build</w:t>
      </w:r>
      <w:r w:rsidRPr="00362828">
        <w:rPr>
          <w:rFonts w:cs="Arial"/>
          <w:sz w:val="22"/>
          <w:szCs w:val="22"/>
        </w:rPr>
        <w:t xml:space="preserve"> </w:t>
      </w:r>
      <w:r w:rsidR="00EF1CCD">
        <w:rPr>
          <w:rFonts w:cs="Arial"/>
          <w:sz w:val="22"/>
          <w:szCs w:val="22"/>
        </w:rPr>
        <w:t>Contracts to</w:t>
      </w:r>
      <w:r w:rsidR="00EF1CCD" w:rsidRPr="00362828">
        <w:rPr>
          <w:rFonts w:cs="Arial"/>
          <w:sz w:val="22"/>
          <w:szCs w:val="22"/>
        </w:rPr>
        <w:t xml:space="preserve"> </w:t>
      </w:r>
      <w:r w:rsidRPr="00362828">
        <w:rPr>
          <w:rFonts w:cs="Arial"/>
          <w:sz w:val="22"/>
          <w:szCs w:val="22"/>
        </w:rPr>
        <w:t>oversee</w:t>
      </w:r>
      <w:r w:rsidR="00C936A1" w:rsidRPr="00362828">
        <w:rPr>
          <w:rFonts w:cs="Arial"/>
          <w:sz w:val="22"/>
          <w:szCs w:val="22"/>
        </w:rPr>
        <w:t xml:space="preserve"> and manage the contract </w:t>
      </w:r>
      <w:r w:rsidRPr="00362828">
        <w:rPr>
          <w:rFonts w:cs="Arial"/>
          <w:sz w:val="22"/>
          <w:szCs w:val="22"/>
        </w:rPr>
        <w:t xml:space="preserve">including the ability to challenge when appropriate. </w:t>
      </w:r>
    </w:p>
    <w:p w14:paraId="3F87C149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6AD9C3D" w14:textId="4731632E" w:rsidR="00342639" w:rsidRDefault="00342639" w:rsidP="00342639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Financial reporting cashflows, monthly financials</w:t>
      </w:r>
      <w:r w:rsidR="00710B6A">
        <w:rPr>
          <w:rFonts w:cs="Arial"/>
          <w:sz w:val="22"/>
          <w:szCs w:val="22"/>
        </w:rPr>
        <w:t xml:space="preserve"> and </w:t>
      </w:r>
      <w:r w:rsidRPr="00362828">
        <w:rPr>
          <w:rFonts w:cs="Arial"/>
          <w:sz w:val="22"/>
          <w:szCs w:val="22"/>
        </w:rPr>
        <w:t>valuations</w:t>
      </w:r>
      <w:r w:rsidR="00BB5B7A">
        <w:rPr>
          <w:rFonts w:cs="Arial"/>
          <w:sz w:val="22"/>
          <w:szCs w:val="22"/>
        </w:rPr>
        <w:t>.</w:t>
      </w:r>
    </w:p>
    <w:p w14:paraId="36FDA104" w14:textId="77777777" w:rsidR="00BB5B7A" w:rsidRPr="00362828" w:rsidRDefault="00BB5B7A" w:rsidP="00A301CD">
      <w:pPr>
        <w:jc w:val="both"/>
        <w:rPr>
          <w:rFonts w:cs="Arial"/>
          <w:sz w:val="22"/>
          <w:szCs w:val="22"/>
        </w:rPr>
      </w:pPr>
    </w:p>
    <w:p w14:paraId="0B913C1A" w14:textId="4AE530BC" w:rsidR="00625E8F" w:rsidRDefault="00342639" w:rsidP="00625E8F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A c</w:t>
      </w:r>
      <w:r w:rsidR="009D6532" w:rsidRPr="00362828">
        <w:rPr>
          <w:rFonts w:cs="Arial"/>
          <w:sz w:val="22"/>
          <w:szCs w:val="22"/>
        </w:rPr>
        <w:t xml:space="preserve">ommercial </w:t>
      </w:r>
      <w:r w:rsidRPr="00362828">
        <w:rPr>
          <w:rFonts w:cs="Arial"/>
          <w:sz w:val="22"/>
          <w:szCs w:val="22"/>
        </w:rPr>
        <w:t xml:space="preserve">astute </w:t>
      </w:r>
      <w:r w:rsidR="009D6532" w:rsidRPr="00362828">
        <w:rPr>
          <w:rFonts w:cs="Arial"/>
          <w:sz w:val="22"/>
          <w:szCs w:val="22"/>
        </w:rPr>
        <w:t>outlook regarding value for money and financial control</w:t>
      </w:r>
      <w:r w:rsidRPr="00362828">
        <w:rPr>
          <w:rFonts w:cs="Arial"/>
          <w:sz w:val="22"/>
          <w:szCs w:val="22"/>
        </w:rPr>
        <w:t xml:space="preserve"> and procurement</w:t>
      </w:r>
      <w:r w:rsidR="00EA20ED" w:rsidRPr="00362828">
        <w:rPr>
          <w:rFonts w:cs="Arial"/>
          <w:sz w:val="22"/>
          <w:szCs w:val="22"/>
        </w:rPr>
        <w:t xml:space="preserve">. </w:t>
      </w:r>
      <w:r w:rsidR="00695E07" w:rsidRPr="00362828">
        <w:rPr>
          <w:rFonts w:cs="Arial"/>
          <w:sz w:val="22"/>
          <w:szCs w:val="22"/>
        </w:rPr>
        <w:t xml:space="preserve"> </w:t>
      </w:r>
    </w:p>
    <w:p w14:paraId="658FE83C" w14:textId="77777777" w:rsidR="00625E8F" w:rsidRPr="00625E8F" w:rsidRDefault="00625E8F" w:rsidP="00625E8F">
      <w:pPr>
        <w:ind w:left="360"/>
        <w:jc w:val="both"/>
        <w:rPr>
          <w:rFonts w:cs="Arial"/>
          <w:sz w:val="22"/>
          <w:szCs w:val="22"/>
        </w:rPr>
      </w:pPr>
    </w:p>
    <w:p w14:paraId="020FCF08" w14:textId="60E53795" w:rsidR="00F94CCD" w:rsidRPr="00B42FE5" w:rsidRDefault="00C57A21" w:rsidP="00B42FE5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 xml:space="preserve">Management of </w:t>
      </w:r>
      <w:r w:rsidR="003031BC">
        <w:rPr>
          <w:rFonts w:cs="Arial"/>
          <w:sz w:val="22"/>
          <w:szCs w:val="22"/>
        </w:rPr>
        <w:t>m</w:t>
      </w:r>
      <w:r w:rsidRPr="00362828">
        <w:rPr>
          <w:rFonts w:cs="Arial"/>
          <w:sz w:val="22"/>
          <w:szCs w:val="22"/>
        </w:rPr>
        <w:t xml:space="preserve">ain contractor </w:t>
      </w:r>
      <w:r w:rsidR="00B42FE5">
        <w:rPr>
          <w:rFonts w:cs="Arial"/>
          <w:sz w:val="22"/>
          <w:szCs w:val="22"/>
        </w:rPr>
        <w:t xml:space="preserve">and </w:t>
      </w:r>
      <w:r w:rsidR="00F94CCD" w:rsidRPr="00B42FE5">
        <w:rPr>
          <w:rFonts w:cs="Arial"/>
          <w:sz w:val="22"/>
          <w:szCs w:val="22"/>
        </w:rPr>
        <w:t xml:space="preserve">external consultant teams </w:t>
      </w:r>
    </w:p>
    <w:p w14:paraId="6F866F3A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3337B3C2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362828">
        <w:rPr>
          <w:rFonts w:cs="Arial"/>
          <w:sz w:val="22"/>
          <w:szCs w:val="22"/>
        </w:rPr>
        <w:t>Empathy for the end user/customers.</w:t>
      </w:r>
    </w:p>
    <w:p w14:paraId="0C684BE3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13DF8BE1" w14:textId="232175B6" w:rsidR="009D6532" w:rsidRDefault="00EF1CCD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Experience and </w:t>
      </w:r>
      <w:r w:rsidR="009D6532" w:rsidRPr="00362828">
        <w:rPr>
          <w:rFonts w:cs="Arial"/>
          <w:sz w:val="22"/>
          <w:szCs w:val="22"/>
        </w:rPr>
        <w:t xml:space="preserve">understanding of health and safety legislation. </w:t>
      </w:r>
    </w:p>
    <w:p w14:paraId="63E60700" w14:textId="77777777" w:rsidR="00625E8F" w:rsidRPr="00362828" w:rsidRDefault="00625E8F" w:rsidP="00625E8F">
      <w:pPr>
        <w:jc w:val="both"/>
        <w:rPr>
          <w:rFonts w:cs="Arial"/>
          <w:sz w:val="22"/>
          <w:szCs w:val="22"/>
        </w:rPr>
      </w:pPr>
    </w:p>
    <w:p w14:paraId="0205EDD1" w14:textId="77777777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9D6532">
        <w:rPr>
          <w:rFonts w:cs="Arial"/>
          <w:sz w:val="22"/>
          <w:szCs w:val="22"/>
        </w:rPr>
        <w:t>An understanding of equality and diversity issues.</w:t>
      </w:r>
    </w:p>
    <w:p w14:paraId="320C712C" w14:textId="77777777" w:rsidR="00625E8F" w:rsidRPr="009D6532" w:rsidRDefault="00625E8F" w:rsidP="00625E8F">
      <w:pPr>
        <w:jc w:val="both"/>
        <w:rPr>
          <w:rFonts w:cs="Arial"/>
          <w:sz w:val="22"/>
          <w:szCs w:val="22"/>
        </w:rPr>
      </w:pPr>
    </w:p>
    <w:p w14:paraId="38810B72" w14:textId="55AD9F02" w:rsid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9D6532">
        <w:rPr>
          <w:rFonts w:cs="Arial"/>
          <w:sz w:val="22"/>
          <w:szCs w:val="22"/>
        </w:rPr>
        <w:t>A willingness to achieve a</w:t>
      </w:r>
      <w:r w:rsidR="00EF1CCD">
        <w:rPr>
          <w:rFonts w:cs="Arial"/>
          <w:sz w:val="22"/>
          <w:szCs w:val="22"/>
        </w:rPr>
        <w:t>ny</w:t>
      </w:r>
      <w:r w:rsidR="009F60C9">
        <w:rPr>
          <w:rFonts w:cs="Arial"/>
          <w:sz w:val="22"/>
          <w:szCs w:val="22"/>
        </w:rPr>
        <w:t xml:space="preserve"> </w:t>
      </w:r>
      <w:r w:rsidRPr="009D6532">
        <w:rPr>
          <w:rFonts w:cs="Arial"/>
          <w:sz w:val="22"/>
          <w:szCs w:val="22"/>
        </w:rPr>
        <w:t>qualification</w:t>
      </w:r>
      <w:r w:rsidR="00EF1CCD">
        <w:rPr>
          <w:rFonts w:cs="Arial"/>
          <w:sz w:val="22"/>
          <w:szCs w:val="22"/>
        </w:rPr>
        <w:t>s for the role</w:t>
      </w:r>
      <w:r w:rsidRPr="009D6532">
        <w:rPr>
          <w:rFonts w:cs="Arial"/>
          <w:sz w:val="22"/>
          <w:szCs w:val="22"/>
        </w:rPr>
        <w:t>.</w:t>
      </w:r>
    </w:p>
    <w:p w14:paraId="6444F0E8" w14:textId="77777777" w:rsidR="00625E8F" w:rsidRPr="009D6532" w:rsidRDefault="00625E8F" w:rsidP="00625E8F">
      <w:pPr>
        <w:jc w:val="both"/>
        <w:rPr>
          <w:rFonts w:cs="Arial"/>
          <w:sz w:val="22"/>
          <w:szCs w:val="22"/>
        </w:rPr>
      </w:pPr>
    </w:p>
    <w:p w14:paraId="25F2A061" w14:textId="77777777" w:rsidR="00B003B0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9D6532">
        <w:rPr>
          <w:rFonts w:cs="Arial"/>
          <w:sz w:val="22"/>
          <w:szCs w:val="22"/>
        </w:rPr>
        <w:t>The ability to produce and present reports.</w:t>
      </w:r>
      <w:r>
        <w:rPr>
          <w:rFonts w:cs="Arial"/>
          <w:sz w:val="22"/>
          <w:szCs w:val="22"/>
        </w:rPr>
        <w:t xml:space="preserve"> </w:t>
      </w:r>
    </w:p>
    <w:p w14:paraId="67FF6B66" w14:textId="77777777" w:rsidR="00B003B0" w:rsidRDefault="00B003B0" w:rsidP="00B003B0">
      <w:pPr>
        <w:pStyle w:val="ListParagraph"/>
        <w:rPr>
          <w:rFonts w:cs="Arial"/>
          <w:sz w:val="22"/>
          <w:szCs w:val="22"/>
        </w:rPr>
      </w:pPr>
    </w:p>
    <w:p w14:paraId="2C043AE1" w14:textId="18AC52D6" w:rsidR="002F305A" w:rsidRPr="009D6532" w:rsidRDefault="009D6532" w:rsidP="009D6532">
      <w:pPr>
        <w:numPr>
          <w:ilvl w:val="0"/>
          <w:numId w:val="1"/>
        </w:numPr>
        <w:tabs>
          <w:tab w:val="clear" w:pos="360"/>
          <w:tab w:val="num" w:pos="786"/>
        </w:tabs>
        <w:jc w:val="both"/>
        <w:rPr>
          <w:rFonts w:cs="Arial"/>
          <w:sz w:val="22"/>
          <w:szCs w:val="22"/>
        </w:rPr>
      </w:pPr>
      <w:r w:rsidRPr="009D6532">
        <w:rPr>
          <w:rFonts w:cs="Arial"/>
          <w:sz w:val="22"/>
          <w:szCs w:val="22"/>
        </w:rPr>
        <w:t>Line management experience.</w:t>
      </w:r>
    </w:p>
    <w:bookmarkEnd w:id="0"/>
    <w:bookmarkEnd w:id="1"/>
    <w:p w14:paraId="3C9F7FF0" w14:textId="7E8EBD08" w:rsidR="000B1EA7" w:rsidRDefault="000B1EA7" w:rsidP="000B1EA7">
      <w:pPr>
        <w:tabs>
          <w:tab w:val="left" w:pos="540"/>
        </w:tabs>
        <w:rPr>
          <w:rFonts w:cs="Arial"/>
          <w:color w:val="000000" w:themeColor="text1"/>
          <w:sz w:val="24"/>
          <w:szCs w:val="24"/>
          <w:u w:val="single"/>
        </w:rPr>
      </w:pP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</w:p>
    <w:p w14:paraId="176CAF58" w14:textId="77777777" w:rsidR="0077497B" w:rsidRDefault="0077497B" w:rsidP="000B1EA7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</w:p>
    <w:p w14:paraId="552F6954" w14:textId="3F9377EE" w:rsidR="000B1EA7" w:rsidRPr="0077497B" w:rsidRDefault="00126147" w:rsidP="000B1EA7">
      <w:pPr>
        <w:tabs>
          <w:tab w:val="left" w:pos="540"/>
        </w:tabs>
        <w:rPr>
          <w:rFonts w:ascii="Bariol" w:hAnsi="Bariol" w:cs="Arial"/>
          <w:b/>
          <w:color w:val="002060"/>
          <w:sz w:val="28"/>
          <w:szCs w:val="28"/>
        </w:rPr>
      </w:pPr>
      <w:r w:rsidRPr="0077497B">
        <w:rPr>
          <w:rFonts w:ascii="Bariol" w:hAnsi="Bariol" w:cs="Arial"/>
          <w:b/>
          <w:color w:val="002060"/>
          <w:sz w:val="28"/>
          <w:szCs w:val="28"/>
        </w:rPr>
        <w:t>whg’s values and behaviours</w:t>
      </w:r>
    </w:p>
    <w:p w14:paraId="1269FB15" w14:textId="77777777" w:rsidR="00D27F5B" w:rsidRDefault="00D27F5B" w:rsidP="00D27F5B">
      <w:pPr>
        <w:tabs>
          <w:tab w:val="left" w:pos="540"/>
        </w:tabs>
        <w:rPr>
          <w:rFonts w:cs="Arial"/>
          <w:b/>
          <w:bCs/>
          <w:color w:val="000000" w:themeColor="text1"/>
          <w:sz w:val="24"/>
          <w:szCs w:val="24"/>
          <w:lang w:eastAsia="en-US"/>
        </w:rPr>
      </w:pPr>
      <w:bookmarkStart w:id="2" w:name="_Hlk70003689"/>
    </w:p>
    <w:bookmarkEnd w:id="2"/>
    <w:p w14:paraId="30CE893B" w14:textId="39F0E876" w:rsidR="00A96911" w:rsidRDefault="00440894" w:rsidP="00440894">
      <w:pPr>
        <w:jc w:val="both"/>
        <w:rPr>
          <w:sz w:val="22"/>
          <w:szCs w:val="22"/>
        </w:rPr>
      </w:pPr>
      <w:r w:rsidRPr="00440894">
        <w:rPr>
          <w:sz w:val="22"/>
          <w:szCs w:val="22"/>
        </w:rPr>
        <w:t>At whg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whg. </w:t>
      </w:r>
    </w:p>
    <w:p w14:paraId="6E2DFA2A" w14:textId="77777777" w:rsidR="00A96911" w:rsidRPr="00A96911" w:rsidRDefault="00A96911" w:rsidP="00A96911">
      <w:pPr>
        <w:jc w:val="both"/>
        <w:textAlignment w:val="baseline"/>
        <w:rPr>
          <w:rFonts w:cs="Arial"/>
          <w:sz w:val="18"/>
          <w:szCs w:val="18"/>
        </w:rPr>
      </w:pPr>
    </w:p>
    <w:p w14:paraId="74E2FD2A" w14:textId="77777777" w:rsidR="00A96911" w:rsidRPr="00A96911" w:rsidRDefault="00A96911" w:rsidP="00A96911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A96911" w:rsidRPr="00A96911" w14:paraId="78968EC5" w14:textId="77777777" w:rsidTr="002966B4">
        <w:trPr>
          <w:jc w:val="center"/>
        </w:trPr>
        <w:tc>
          <w:tcPr>
            <w:tcW w:w="1838" w:type="dxa"/>
            <w:hideMark/>
          </w:tcPr>
          <w:p w14:paraId="43172147" w14:textId="74FF4A76" w:rsidR="00A96911" w:rsidRPr="00A96911" w:rsidRDefault="00A96911" w:rsidP="00A9691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691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4CDAD2" wp14:editId="5A9DDB9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516036727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96485B8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506AD762" w14:textId="77777777" w:rsidR="00A96911" w:rsidRPr="00A96911" w:rsidRDefault="00A96911" w:rsidP="00A9691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9691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2DD5A7E4" w14:textId="77777777" w:rsidR="00A96911" w:rsidRPr="00A96911" w:rsidRDefault="00A96911" w:rsidP="00A96911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A96911" w:rsidRPr="00A96911" w14:paraId="5707BE96" w14:textId="77777777" w:rsidTr="002966B4">
        <w:trPr>
          <w:jc w:val="center"/>
        </w:trPr>
        <w:tc>
          <w:tcPr>
            <w:tcW w:w="1838" w:type="dxa"/>
          </w:tcPr>
          <w:p w14:paraId="42F01D91" w14:textId="522A0AD8" w:rsidR="00A96911" w:rsidRPr="00A96911" w:rsidRDefault="00A96911" w:rsidP="00A96911">
            <w:pPr>
              <w:widowControl w:val="0"/>
              <w:rPr>
                <w:noProof/>
              </w:rPr>
            </w:pPr>
            <w:r w:rsidRPr="00A9691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735DD8" wp14:editId="2F8666FF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251629221" name="Picture 4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0AB2336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107298CD" w14:textId="77777777" w:rsidR="00A96911" w:rsidRPr="00A96911" w:rsidRDefault="00A96911" w:rsidP="00A9691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9691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175C9D35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A96911" w:rsidRPr="00A96911" w14:paraId="4507ED13" w14:textId="77777777" w:rsidTr="002966B4">
        <w:trPr>
          <w:jc w:val="center"/>
        </w:trPr>
        <w:tc>
          <w:tcPr>
            <w:tcW w:w="1838" w:type="dxa"/>
            <w:hideMark/>
          </w:tcPr>
          <w:p w14:paraId="5F277381" w14:textId="03BC97EA" w:rsidR="00A96911" w:rsidRPr="00A96911" w:rsidRDefault="00A96911" w:rsidP="00A9691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691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E3D9C0" wp14:editId="7224AAE2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858080582" name="Picture 3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0787151A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644135DF" w14:textId="77777777" w:rsidR="00A96911" w:rsidRPr="00A96911" w:rsidRDefault="00A96911" w:rsidP="00A9691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9691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34BCAB64" w14:textId="77777777" w:rsidR="00A96911" w:rsidRPr="00A96911" w:rsidRDefault="00A96911" w:rsidP="00A9691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6911" w:rsidRPr="00A96911" w14:paraId="267CE7F4" w14:textId="77777777" w:rsidTr="002966B4">
        <w:trPr>
          <w:jc w:val="center"/>
        </w:trPr>
        <w:tc>
          <w:tcPr>
            <w:tcW w:w="1838" w:type="dxa"/>
          </w:tcPr>
          <w:p w14:paraId="5C1ED242" w14:textId="60D32BB8" w:rsidR="00A96911" w:rsidRPr="00A96911" w:rsidRDefault="00A96911" w:rsidP="00A96911">
            <w:pPr>
              <w:widowControl w:val="0"/>
              <w:rPr>
                <w:noProof/>
              </w:rPr>
            </w:pPr>
            <w:r w:rsidRPr="00A9691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B25580A" wp14:editId="340FE50E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2070547065" name="Picture 2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5751E72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191DC78B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  <w:tr w:rsidR="00A96911" w:rsidRPr="00A96911" w14:paraId="46229B3D" w14:textId="77777777" w:rsidTr="002966B4">
        <w:trPr>
          <w:jc w:val="center"/>
        </w:trPr>
        <w:tc>
          <w:tcPr>
            <w:tcW w:w="1838" w:type="dxa"/>
          </w:tcPr>
          <w:p w14:paraId="20DB47EB" w14:textId="77777777" w:rsidR="00A96911" w:rsidRPr="00A96911" w:rsidRDefault="00A96911" w:rsidP="00A96911">
            <w:pPr>
              <w:widowControl w:val="0"/>
              <w:rPr>
                <w:noProof/>
              </w:rPr>
            </w:pPr>
          </w:p>
        </w:tc>
        <w:tc>
          <w:tcPr>
            <w:tcW w:w="3119" w:type="dxa"/>
          </w:tcPr>
          <w:p w14:paraId="1762D8C4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A96911" w:rsidRPr="00A96911" w14:paraId="19BCC25D" w14:textId="77777777" w:rsidTr="002966B4">
        <w:trPr>
          <w:jc w:val="center"/>
        </w:trPr>
        <w:tc>
          <w:tcPr>
            <w:tcW w:w="1838" w:type="dxa"/>
            <w:hideMark/>
          </w:tcPr>
          <w:p w14:paraId="38AA4A4D" w14:textId="3C9DF1BF" w:rsidR="00A96911" w:rsidRPr="00A96911" w:rsidRDefault="00A96911" w:rsidP="00A9691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6911"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2AF67CE" wp14:editId="765882C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537878165" name="Picture 1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7F14F53" w14:textId="77777777" w:rsidR="00A96911" w:rsidRPr="00A96911" w:rsidRDefault="00A96911" w:rsidP="00A96911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9691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7F7D1DCE" w14:textId="77777777" w:rsidR="00A96911" w:rsidRPr="00A96911" w:rsidRDefault="00A96911" w:rsidP="00A96911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9691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7DED755F" w14:textId="77777777" w:rsidR="00A96911" w:rsidRPr="00A96911" w:rsidRDefault="00A96911" w:rsidP="00A96911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791F35" w14:textId="77777777" w:rsidR="00A96911" w:rsidRPr="00A96911" w:rsidRDefault="00A96911" w:rsidP="00A96911">
      <w:pPr>
        <w:jc w:val="both"/>
      </w:pPr>
    </w:p>
    <w:p w14:paraId="36AF21A6" w14:textId="77777777" w:rsidR="00A96911" w:rsidRPr="00A96911" w:rsidRDefault="00A96911" w:rsidP="00A96911">
      <w:pPr>
        <w:widowControl w:val="0"/>
        <w:jc w:val="both"/>
        <w:rPr>
          <w:rFonts w:cs="Arial"/>
          <w:sz w:val="22"/>
          <w:szCs w:val="22"/>
        </w:rPr>
      </w:pPr>
    </w:p>
    <w:p w14:paraId="2F56640D" w14:textId="77777777" w:rsidR="00A96911" w:rsidRDefault="00A96911" w:rsidP="00440894">
      <w:pPr>
        <w:jc w:val="both"/>
        <w:rPr>
          <w:sz w:val="22"/>
          <w:szCs w:val="22"/>
        </w:rPr>
      </w:pPr>
    </w:p>
    <w:p w14:paraId="672F32BA" w14:textId="77777777" w:rsidR="00B003B0" w:rsidRDefault="00B003B0" w:rsidP="00440894">
      <w:pPr>
        <w:jc w:val="both"/>
        <w:rPr>
          <w:sz w:val="22"/>
          <w:szCs w:val="22"/>
        </w:rPr>
      </w:pPr>
    </w:p>
    <w:p w14:paraId="307DEBFD" w14:textId="77777777" w:rsidR="00B003B0" w:rsidRPr="00440894" w:rsidRDefault="00B003B0" w:rsidP="00440894">
      <w:pPr>
        <w:jc w:val="both"/>
        <w:rPr>
          <w:sz w:val="22"/>
          <w:szCs w:val="22"/>
        </w:rPr>
      </w:pPr>
    </w:p>
    <w:sectPr w:rsidR="00B003B0" w:rsidRPr="00440894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3421" w14:textId="77777777" w:rsidR="00657E71" w:rsidRDefault="00657E71" w:rsidP="00570D4A">
      <w:r>
        <w:separator/>
      </w:r>
    </w:p>
  </w:endnote>
  <w:endnote w:type="continuationSeparator" w:id="0">
    <w:p w14:paraId="5977B9B9" w14:textId="77777777" w:rsidR="00657E71" w:rsidRDefault="00657E71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9D3B" w14:textId="77777777" w:rsidR="00657E71" w:rsidRDefault="00657E71" w:rsidP="00570D4A">
      <w:r>
        <w:separator/>
      </w:r>
    </w:p>
  </w:footnote>
  <w:footnote w:type="continuationSeparator" w:id="0">
    <w:p w14:paraId="4BE41B0A" w14:textId="77777777" w:rsidR="00657E71" w:rsidRDefault="00657E71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111E2B45" w:rsidR="00927A63" w:rsidRDefault="00EC6C77" w:rsidP="00686D62">
    <w:pPr>
      <w:pStyle w:val="Header"/>
    </w:pPr>
    <w:r w:rsidRPr="00625E8F">
      <w:rPr>
        <w:rFonts w:ascii="Bariol" w:hAnsi="Bariol" w:cs="Arial"/>
        <w:b/>
        <w:noProof/>
        <w:color w:val="002060"/>
        <w:sz w:val="36"/>
        <w:szCs w:val="36"/>
      </w:rPr>
      <w:t>Project Manager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5AAE"/>
    <w:multiLevelType w:val="hybridMultilevel"/>
    <w:tmpl w:val="3440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9104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71DE"/>
    <w:multiLevelType w:val="hybridMultilevel"/>
    <w:tmpl w:val="4E66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1F8F"/>
    <w:multiLevelType w:val="hybridMultilevel"/>
    <w:tmpl w:val="AB58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472"/>
    <w:multiLevelType w:val="hybridMultilevel"/>
    <w:tmpl w:val="5C0CC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DA4"/>
    <w:multiLevelType w:val="hybridMultilevel"/>
    <w:tmpl w:val="A3C2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BC4259"/>
    <w:multiLevelType w:val="hybridMultilevel"/>
    <w:tmpl w:val="2DBCF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37D56"/>
    <w:multiLevelType w:val="hybridMultilevel"/>
    <w:tmpl w:val="3B96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F507854"/>
    <w:multiLevelType w:val="hybridMultilevel"/>
    <w:tmpl w:val="14D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B7928"/>
    <w:multiLevelType w:val="hybridMultilevel"/>
    <w:tmpl w:val="57B2D94A"/>
    <w:lvl w:ilvl="0" w:tplc="542A4E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3064249">
    <w:abstractNumId w:val="10"/>
  </w:num>
  <w:num w:numId="2" w16cid:durableId="64761114">
    <w:abstractNumId w:val="10"/>
  </w:num>
  <w:num w:numId="3" w16cid:durableId="324941752">
    <w:abstractNumId w:val="30"/>
  </w:num>
  <w:num w:numId="4" w16cid:durableId="251359766">
    <w:abstractNumId w:val="27"/>
  </w:num>
  <w:num w:numId="5" w16cid:durableId="1448235447">
    <w:abstractNumId w:val="24"/>
  </w:num>
  <w:num w:numId="6" w16cid:durableId="136119045">
    <w:abstractNumId w:val="9"/>
  </w:num>
  <w:num w:numId="7" w16cid:durableId="1141118901">
    <w:abstractNumId w:val="25"/>
  </w:num>
  <w:num w:numId="8" w16cid:durableId="888028117">
    <w:abstractNumId w:val="21"/>
  </w:num>
  <w:num w:numId="9" w16cid:durableId="1558666768">
    <w:abstractNumId w:val="16"/>
  </w:num>
  <w:num w:numId="10" w16cid:durableId="1626737429">
    <w:abstractNumId w:val="5"/>
  </w:num>
  <w:num w:numId="11" w16cid:durableId="289288200">
    <w:abstractNumId w:val="13"/>
  </w:num>
  <w:num w:numId="12" w16cid:durableId="265966213">
    <w:abstractNumId w:val="3"/>
  </w:num>
  <w:num w:numId="13" w16cid:durableId="699823270">
    <w:abstractNumId w:val="22"/>
  </w:num>
  <w:num w:numId="14" w16cid:durableId="973220138">
    <w:abstractNumId w:val="2"/>
  </w:num>
  <w:num w:numId="15" w16cid:durableId="1970241153">
    <w:abstractNumId w:val="32"/>
  </w:num>
  <w:num w:numId="16" w16cid:durableId="76829969">
    <w:abstractNumId w:val="4"/>
  </w:num>
  <w:num w:numId="17" w16cid:durableId="1245071309">
    <w:abstractNumId w:val="26"/>
  </w:num>
  <w:num w:numId="18" w16cid:durableId="1598489417">
    <w:abstractNumId w:val="20"/>
  </w:num>
  <w:num w:numId="19" w16cid:durableId="2133788874">
    <w:abstractNumId w:val="0"/>
  </w:num>
  <w:num w:numId="20" w16cid:durableId="1817063484">
    <w:abstractNumId w:val="18"/>
  </w:num>
  <w:num w:numId="21" w16cid:durableId="1037200682">
    <w:abstractNumId w:val="15"/>
  </w:num>
  <w:num w:numId="22" w16cid:durableId="30618735">
    <w:abstractNumId w:val="17"/>
  </w:num>
  <w:num w:numId="23" w16cid:durableId="1127166029">
    <w:abstractNumId w:val="6"/>
  </w:num>
  <w:num w:numId="24" w16cid:durableId="143662079">
    <w:abstractNumId w:val="8"/>
  </w:num>
  <w:num w:numId="25" w16cid:durableId="1473206001">
    <w:abstractNumId w:val="31"/>
  </w:num>
  <w:num w:numId="26" w16cid:durableId="484322655">
    <w:abstractNumId w:val="28"/>
  </w:num>
  <w:num w:numId="27" w16cid:durableId="1375303993">
    <w:abstractNumId w:val="12"/>
  </w:num>
  <w:num w:numId="28" w16cid:durableId="1003437004">
    <w:abstractNumId w:val="23"/>
  </w:num>
  <w:num w:numId="29" w16cid:durableId="2010521282">
    <w:abstractNumId w:val="1"/>
  </w:num>
  <w:num w:numId="30" w16cid:durableId="1134717379">
    <w:abstractNumId w:val="7"/>
  </w:num>
  <w:num w:numId="31" w16cid:durableId="1254631626">
    <w:abstractNumId w:val="11"/>
  </w:num>
  <w:num w:numId="32" w16cid:durableId="1051223267">
    <w:abstractNumId w:val="29"/>
  </w:num>
  <w:num w:numId="33" w16cid:durableId="1806507737">
    <w:abstractNumId w:val="14"/>
  </w:num>
  <w:num w:numId="34" w16cid:durableId="1040011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12058"/>
    <w:rsid w:val="00031144"/>
    <w:rsid w:val="00033641"/>
    <w:rsid w:val="0003462B"/>
    <w:rsid w:val="00034926"/>
    <w:rsid w:val="00041051"/>
    <w:rsid w:val="00043116"/>
    <w:rsid w:val="00045BF0"/>
    <w:rsid w:val="000503EB"/>
    <w:rsid w:val="00050650"/>
    <w:rsid w:val="00057E80"/>
    <w:rsid w:val="00075C24"/>
    <w:rsid w:val="00081904"/>
    <w:rsid w:val="000A59D6"/>
    <w:rsid w:val="000A5DA4"/>
    <w:rsid w:val="000A5DEC"/>
    <w:rsid w:val="000B1EA7"/>
    <w:rsid w:val="000B307D"/>
    <w:rsid w:val="000C0993"/>
    <w:rsid w:val="000C281D"/>
    <w:rsid w:val="000D2997"/>
    <w:rsid w:val="000D40B4"/>
    <w:rsid w:val="000F6724"/>
    <w:rsid w:val="00126147"/>
    <w:rsid w:val="00127BBC"/>
    <w:rsid w:val="0013276D"/>
    <w:rsid w:val="00135602"/>
    <w:rsid w:val="00154979"/>
    <w:rsid w:val="001736FC"/>
    <w:rsid w:val="00175BE4"/>
    <w:rsid w:val="001878ED"/>
    <w:rsid w:val="001A055C"/>
    <w:rsid w:val="001A3DB3"/>
    <w:rsid w:val="001C128D"/>
    <w:rsid w:val="001D130C"/>
    <w:rsid w:val="001F0E08"/>
    <w:rsid w:val="002046FF"/>
    <w:rsid w:val="00216CFB"/>
    <w:rsid w:val="00241566"/>
    <w:rsid w:val="002446A6"/>
    <w:rsid w:val="0024665D"/>
    <w:rsid w:val="00267C83"/>
    <w:rsid w:val="00277F1D"/>
    <w:rsid w:val="00286F13"/>
    <w:rsid w:val="002A151D"/>
    <w:rsid w:val="002B023B"/>
    <w:rsid w:val="002B435F"/>
    <w:rsid w:val="002B6D48"/>
    <w:rsid w:val="002C7081"/>
    <w:rsid w:val="002D22BC"/>
    <w:rsid w:val="002D52A5"/>
    <w:rsid w:val="002E7967"/>
    <w:rsid w:val="002F1034"/>
    <w:rsid w:val="002F305A"/>
    <w:rsid w:val="002F3BBC"/>
    <w:rsid w:val="002F44AE"/>
    <w:rsid w:val="002F5B55"/>
    <w:rsid w:val="00301630"/>
    <w:rsid w:val="003031BC"/>
    <w:rsid w:val="00305940"/>
    <w:rsid w:val="00313982"/>
    <w:rsid w:val="00333784"/>
    <w:rsid w:val="00342639"/>
    <w:rsid w:val="003516D2"/>
    <w:rsid w:val="00352F08"/>
    <w:rsid w:val="00362828"/>
    <w:rsid w:val="00371863"/>
    <w:rsid w:val="0037519D"/>
    <w:rsid w:val="003A763E"/>
    <w:rsid w:val="003B3C81"/>
    <w:rsid w:val="003B6851"/>
    <w:rsid w:val="003C2442"/>
    <w:rsid w:val="003F495D"/>
    <w:rsid w:val="0042127A"/>
    <w:rsid w:val="00431502"/>
    <w:rsid w:val="0043316C"/>
    <w:rsid w:val="00440894"/>
    <w:rsid w:val="0044632B"/>
    <w:rsid w:val="00453584"/>
    <w:rsid w:val="00465323"/>
    <w:rsid w:val="0049307E"/>
    <w:rsid w:val="004D202D"/>
    <w:rsid w:val="004F0AD9"/>
    <w:rsid w:val="00541706"/>
    <w:rsid w:val="00543192"/>
    <w:rsid w:val="00543253"/>
    <w:rsid w:val="0055027A"/>
    <w:rsid w:val="00550A90"/>
    <w:rsid w:val="00555AC9"/>
    <w:rsid w:val="00565F71"/>
    <w:rsid w:val="00570D4A"/>
    <w:rsid w:val="005714B8"/>
    <w:rsid w:val="005837A3"/>
    <w:rsid w:val="00584B21"/>
    <w:rsid w:val="005918F1"/>
    <w:rsid w:val="005A1A68"/>
    <w:rsid w:val="005C22D5"/>
    <w:rsid w:val="005F7821"/>
    <w:rsid w:val="006001A3"/>
    <w:rsid w:val="00625E8F"/>
    <w:rsid w:val="00644F7A"/>
    <w:rsid w:val="00645451"/>
    <w:rsid w:val="00654124"/>
    <w:rsid w:val="00657E71"/>
    <w:rsid w:val="00686D62"/>
    <w:rsid w:val="006905D1"/>
    <w:rsid w:val="00691B9A"/>
    <w:rsid w:val="00692FCD"/>
    <w:rsid w:val="00695E07"/>
    <w:rsid w:val="006D1F7E"/>
    <w:rsid w:val="006F120F"/>
    <w:rsid w:val="006F22DC"/>
    <w:rsid w:val="00703922"/>
    <w:rsid w:val="00703BBD"/>
    <w:rsid w:val="007062D7"/>
    <w:rsid w:val="007064C3"/>
    <w:rsid w:val="00710405"/>
    <w:rsid w:val="00710B6A"/>
    <w:rsid w:val="00725B3F"/>
    <w:rsid w:val="0073698D"/>
    <w:rsid w:val="007427BE"/>
    <w:rsid w:val="007465A8"/>
    <w:rsid w:val="00753D1A"/>
    <w:rsid w:val="007561A3"/>
    <w:rsid w:val="0077497B"/>
    <w:rsid w:val="0077565E"/>
    <w:rsid w:val="007801FD"/>
    <w:rsid w:val="00792666"/>
    <w:rsid w:val="0079472A"/>
    <w:rsid w:val="007A5C56"/>
    <w:rsid w:val="007C596F"/>
    <w:rsid w:val="007E6B2D"/>
    <w:rsid w:val="007F2E24"/>
    <w:rsid w:val="00817FB3"/>
    <w:rsid w:val="00822118"/>
    <w:rsid w:val="008612C5"/>
    <w:rsid w:val="008830FB"/>
    <w:rsid w:val="00895ACB"/>
    <w:rsid w:val="008A1C81"/>
    <w:rsid w:val="008F589F"/>
    <w:rsid w:val="0090111C"/>
    <w:rsid w:val="00906241"/>
    <w:rsid w:val="00914E01"/>
    <w:rsid w:val="00921C24"/>
    <w:rsid w:val="00927A63"/>
    <w:rsid w:val="00951F0B"/>
    <w:rsid w:val="00964C68"/>
    <w:rsid w:val="00983467"/>
    <w:rsid w:val="00993FA4"/>
    <w:rsid w:val="009A2373"/>
    <w:rsid w:val="009B0F59"/>
    <w:rsid w:val="009C4858"/>
    <w:rsid w:val="009D6532"/>
    <w:rsid w:val="009F0462"/>
    <w:rsid w:val="009F60C9"/>
    <w:rsid w:val="00A1792F"/>
    <w:rsid w:val="00A215BD"/>
    <w:rsid w:val="00A301CD"/>
    <w:rsid w:val="00A3284D"/>
    <w:rsid w:val="00A367D2"/>
    <w:rsid w:val="00A37728"/>
    <w:rsid w:val="00A4172B"/>
    <w:rsid w:val="00A45C01"/>
    <w:rsid w:val="00A5612D"/>
    <w:rsid w:val="00A629CA"/>
    <w:rsid w:val="00A62D0B"/>
    <w:rsid w:val="00A63A7B"/>
    <w:rsid w:val="00A82055"/>
    <w:rsid w:val="00A853D0"/>
    <w:rsid w:val="00A96911"/>
    <w:rsid w:val="00AA02FA"/>
    <w:rsid w:val="00AA16BD"/>
    <w:rsid w:val="00B003B0"/>
    <w:rsid w:val="00B03F25"/>
    <w:rsid w:val="00B2110E"/>
    <w:rsid w:val="00B42FE5"/>
    <w:rsid w:val="00B44353"/>
    <w:rsid w:val="00B605D5"/>
    <w:rsid w:val="00B62A92"/>
    <w:rsid w:val="00B71488"/>
    <w:rsid w:val="00B72CE7"/>
    <w:rsid w:val="00B832AF"/>
    <w:rsid w:val="00B85345"/>
    <w:rsid w:val="00BB5B7A"/>
    <w:rsid w:val="00BB78A3"/>
    <w:rsid w:val="00BE408C"/>
    <w:rsid w:val="00BE4D08"/>
    <w:rsid w:val="00BE5874"/>
    <w:rsid w:val="00BF5BEA"/>
    <w:rsid w:val="00C3646D"/>
    <w:rsid w:val="00C57A21"/>
    <w:rsid w:val="00C83015"/>
    <w:rsid w:val="00C8317D"/>
    <w:rsid w:val="00C86DE6"/>
    <w:rsid w:val="00C936A1"/>
    <w:rsid w:val="00CA1B22"/>
    <w:rsid w:val="00CA1B24"/>
    <w:rsid w:val="00CC25E7"/>
    <w:rsid w:val="00CC2C71"/>
    <w:rsid w:val="00CF5909"/>
    <w:rsid w:val="00D157C0"/>
    <w:rsid w:val="00D15EFB"/>
    <w:rsid w:val="00D2128D"/>
    <w:rsid w:val="00D275D8"/>
    <w:rsid w:val="00D27A83"/>
    <w:rsid w:val="00D27F5B"/>
    <w:rsid w:val="00D43878"/>
    <w:rsid w:val="00D461D5"/>
    <w:rsid w:val="00D47B04"/>
    <w:rsid w:val="00D55D5A"/>
    <w:rsid w:val="00D70287"/>
    <w:rsid w:val="00D72039"/>
    <w:rsid w:val="00D770B4"/>
    <w:rsid w:val="00D81D11"/>
    <w:rsid w:val="00DA17BE"/>
    <w:rsid w:val="00DC604C"/>
    <w:rsid w:val="00DE16C7"/>
    <w:rsid w:val="00DF1F63"/>
    <w:rsid w:val="00E179F8"/>
    <w:rsid w:val="00E27E47"/>
    <w:rsid w:val="00E33425"/>
    <w:rsid w:val="00E36378"/>
    <w:rsid w:val="00E43BAA"/>
    <w:rsid w:val="00E54861"/>
    <w:rsid w:val="00E54C01"/>
    <w:rsid w:val="00E8064C"/>
    <w:rsid w:val="00EA0CA9"/>
    <w:rsid w:val="00EA20ED"/>
    <w:rsid w:val="00EA7369"/>
    <w:rsid w:val="00EB3D5E"/>
    <w:rsid w:val="00EB4371"/>
    <w:rsid w:val="00EB6DB3"/>
    <w:rsid w:val="00EC6C77"/>
    <w:rsid w:val="00ED347F"/>
    <w:rsid w:val="00ED6931"/>
    <w:rsid w:val="00EF1CCD"/>
    <w:rsid w:val="00F015F0"/>
    <w:rsid w:val="00F206E7"/>
    <w:rsid w:val="00F2721D"/>
    <w:rsid w:val="00F64461"/>
    <w:rsid w:val="00F84551"/>
    <w:rsid w:val="00F94CCD"/>
    <w:rsid w:val="00F97741"/>
    <w:rsid w:val="00FA0378"/>
    <w:rsid w:val="00FE35FA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  <w:style w:type="paragraph" w:styleId="Revision">
    <w:name w:val="Revision"/>
    <w:hidden/>
    <w:uiPriority w:val="71"/>
    <w:rsid w:val="00EF1CCD"/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5B94-0FB1-41C7-85AE-BC727A2F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961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2</cp:revision>
  <dcterms:created xsi:type="dcterms:W3CDTF">2025-10-21T14:44:00Z</dcterms:created>
  <dcterms:modified xsi:type="dcterms:W3CDTF">2025-10-21T14:44:00Z</dcterms:modified>
</cp:coreProperties>
</file>